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A467" w14:textId="77777777" w:rsidR="00E74B7E" w:rsidRDefault="00E74B7E" w:rsidP="00E74B7E">
      <w:pPr>
        <w:rPr>
          <w:rFonts w:ascii="Open Sans ExtraBold" w:hAnsi="Open Sans ExtraBold" w:cs="Open Sans ExtraBold"/>
          <w:color w:val="4472C4" w:themeColor="accent1"/>
          <w:sz w:val="52"/>
          <w:szCs w:val="52"/>
        </w:rPr>
      </w:pPr>
    </w:p>
    <w:p w14:paraId="205606FC" w14:textId="77777777" w:rsidR="00E74B7E" w:rsidRDefault="00E74B7E" w:rsidP="00E74B7E">
      <w:pPr>
        <w:rPr>
          <w:rFonts w:ascii="Open Sans ExtraBold" w:hAnsi="Open Sans ExtraBold" w:cs="Open Sans ExtraBold"/>
          <w:color w:val="4472C4" w:themeColor="accent1"/>
          <w:sz w:val="52"/>
          <w:szCs w:val="52"/>
        </w:rPr>
      </w:pPr>
    </w:p>
    <w:p w14:paraId="5BEB72FE" w14:textId="77777777" w:rsidR="00E74B7E" w:rsidRDefault="00E74B7E" w:rsidP="00E74B7E">
      <w:pPr>
        <w:rPr>
          <w:rFonts w:ascii="Open Sans ExtraBold" w:hAnsi="Open Sans ExtraBold" w:cs="Open Sans ExtraBold"/>
          <w:color w:val="4472C4" w:themeColor="accent1"/>
          <w:sz w:val="52"/>
          <w:szCs w:val="52"/>
        </w:rPr>
      </w:pPr>
    </w:p>
    <w:p w14:paraId="1D1E16FD" w14:textId="77777777" w:rsidR="00E74B7E" w:rsidRDefault="00E74B7E" w:rsidP="00E74B7E">
      <w:pPr>
        <w:rPr>
          <w:rFonts w:ascii="Open Sans ExtraBold" w:hAnsi="Open Sans ExtraBold" w:cs="Open Sans ExtraBold"/>
          <w:color w:val="4472C4" w:themeColor="accent1"/>
          <w:sz w:val="52"/>
          <w:szCs w:val="52"/>
        </w:rPr>
      </w:pPr>
    </w:p>
    <w:p w14:paraId="7D5C2E9D" w14:textId="77777777" w:rsidR="00E74B7E" w:rsidRDefault="00E74B7E" w:rsidP="00E74B7E">
      <w:pPr>
        <w:rPr>
          <w:rFonts w:ascii="Open Sans ExtraBold" w:hAnsi="Open Sans ExtraBold" w:cs="Open Sans ExtraBold"/>
          <w:color w:val="4472C4" w:themeColor="accent1"/>
          <w:sz w:val="52"/>
          <w:szCs w:val="52"/>
        </w:rPr>
      </w:pPr>
    </w:p>
    <w:p w14:paraId="329E092E" w14:textId="77777777" w:rsidR="00E74B7E" w:rsidRDefault="00E74B7E" w:rsidP="00E74B7E">
      <w:pPr>
        <w:rPr>
          <w:rFonts w:ascii="Open Sans ExtraBold" w:hAnsi="Open Sans ExtraBold" w:cs="Open Sans ExtraBold"/>
          <w:color w:val="4472C4" w:themeColor="accent1"/>
          <w:sz w:val="52"/>
          <w:szCs w:val="52"/>
        </w:rPr>
      </w:pPr>
    </w:p>
    <w:p w14:paraId="01F121C0" w14:textId="77777777" w:rsidR="00E74B7E" w:rsidRDefault="00E74B7E" w:rsidP="00E74B7E">
      <w:pPr>
        <w:rPr>
          <w:rFonts w:ascii="Open Sans ExtraBold" w:hAnsi="Open Sans ExtraBold" w:cs="Open Sans ExtraBold"/>
          <w:color w:val="4472C4" w:themeColor="accent1"/>
          <w:sz w:val="52"/>
          <w:szCs w:val="52"/>
        </w:rPr>
      </w:pPr>
    </w:p>
    <w:p w14:paraId="4D141200" w14:textId="77777777" w:rsidR="00E74B7E" w:rsidRDefault="00E74B7E" w:rsidP="00E74B7E">
      <w:pPr>
        <w:rPr>
          <w:rFonts w:ascii="Open Sans ExtraBold" w:hAnsi="Open Sans ExtraBold" w:cs="Open Sans ExtraBold"/>
          <w:color w:val="4472C4" w:themeColor="accent1"/>
          <w:sz w:val="52"/>
          <w:szCs w:val="52"/>
        </w:rPr>
      </w:pPr>
    </w:p>
    <w:p w14:paraId="1D110A26" w14:textId="77777777" w:rsidR="00E74B7E" w:rsidRDefault="00E74B7E" w:rsidP="00E74B7E">
      <w:pPr>
        <w:rPr>
          <w:rFonts w:ascii="Open Sans ExtraBold" w:hAnsi="Open Sans ExtraBold" w:cs="Open Sans ExtraBold"/>
          <w:color w:val="4472C4" w:themeColor="accent1"/>
          <w:sz w:val="52"/>
          <w:szCs w:val="52"/>
        </w:rPr>
      </w:pPr>
    </w:p>
    <w:p w14:paraId="099DFA4A" w14:textId="77777777" w:rsidR="00E74B7E" w:rsidRDefault="00E74B7E" w:rsidP="00E74B7E">
      <w:pPr>
        <w:rPr>
          <w:rFonts w:ascii="Open Sans ExtraBold" w:hAnsi="Open Sans ExtraBold" w:cs="Open Sans ExtraBold"/>
          <w:color w:val="4472C4" w:themeColor="accent1"/>
          <w:sz w:val="52"/>
          <w:szCs w:val="52"/>
        </w:rPr>
      </w:pPr>
    </w:p>
    <w:p w14:paraId="2CDB03AD" w14:textId="77777777" w:rsidR="00E74B7E" w:rsidRDefault="00E74B7E" w:rsidP="00E74B7E">
      <w:pPr>
        <w:rPr>
          <w:rFonts w:ascii="Open Sans ExtraBold" w:hAnsi="Open Sans ExtraBold" w:cs="Open Sans ExtraBold"/>
          <w:color w:val="4472C4" w:themeColor="accent1"/>
          <w:sz w:val="52"/>
          <w:szCs w:val="52"/>
        </w:rPr>
      </w:pPr>
    </w:p>
    <w:p w14:paraId="5E3DEC96" w14:textId="77777777" w:rsidR="00E74B7E" w:rsidRDefault="00E74B7E" w:rsidP="00E74B7E">
      <w:pPr>
        <w:rPr>
          <w:rFonts w:ascii="Open Sans ExtraBold" w:hAnsi="Open Sans ExtraBold" w:cs="Open Sans ExtraBold"/>
          <w:color w:val="4472C4" w:themeColor="accent1"/>
          <w:sz w:val="52"/>
          <w:szCs w:val="52"/>
        </w:rPr>
      </w:pPr>
    </w:p>
    <w:p w14:paraId="7ECB83D9" w14:textId="77777777" w:rsidR="00E74B7E" w:rsidRDefault="00E74B7E" w:rsidP="00E74B7E">
      <w:pPr>
        <w:rPr>
          <w:rFonts w:ascii="Open Sans ExtraBold" w:hAnsi="Open Sans ExtraBold" w:cs="Open Sans ExtraBold"/>
          <w:color w:val="4472C4" w:themeColor="accent1"/>
          <w:sz w:val="52"/>
          <w:szCs w:val="52"/>
        </w:rPr>
      </w:pPr>
    </w:p>
    <w:p w14:paraId="71F04331" w14:textId="1978F8D2" w:rsidR="00AA41CB" w:rsidRDefault="00E74B7E" w:rsidP="00E74B7E">
      <w:pPr>
        <w:rPr>
          <w:rFonts w:ascii="Open Sans ExtraBold" w:hAnsi="Open Sans ExtraBold" w:cs="Open Sans ExtraBold"/>
          <w:color w:val="4472C4" w:themeColor="accent1"/>
          <w:sz w:val="52"/>
          <w:szCs w:val="52"/>
        </w:rPr>
      </w:pPr>
      <w:r w:rsidRPr="00AA41CB">
        <w:rPr>
          <w:rFonts w:ascii="Open Sans ExtraBold" w:hAnsi="Open Sans ExtraBold" w:cs="Open Sans ExtraBold"/>
          <w:noProof/>
          <w:color w:val="4472C4" w:themeColor="accent1"/>
          <w:sz w:val="52"/>
          <w:szCs w:val="52"/>
        </w:rPr>
        <mc:AlternateContent>
          <mc:Choice Requires="wps">
            <w:drawing>
              <wp:anchor distT="0" distB="0" distL="114300" distR="114300" simplePos="0" relativeHeight="251658240" behindDoc="0" locked="0" layoutInCell="1" allowOverlap="1" wp14:anchorId="5E5C17C0" wp14:editId="7B52E211">
                <wp:simplePos x="0" y="0"/>
                <wp:positionH relativeFrom="column">
                  <wp:posOffset>157655</wp:posOffset>
                </wp:positionH>
                <wp:positionV relativeFrom="page">
                  <wp:posOffset>7062952</wp:posOffset>
                </wp:positionV>
                <wp:extent cx="5674995" cy="1499870"/>
                <wp:effectExtent l="0" t="0" r="2095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499870"/>
                        </a:xfrm>
                        <a:prstGeom prst="rect">
                          <a:avLst/>
                        </a:prstGeom>
                        <a:noFill/>
                        <a:ln w="9525">
                          <a:solidFill>
                            <a:schemeClr val="bg1"/>
                          </a:solidFill>
                          <a:miter lim="800000"/>
                          <a:headEnd/>
                          <a:tailEnd/>
                        </a:ln>
                      </wps:spPr>
                      <wps:txbx>
                        <w:txbxContent>
                          <w:p w14:paraId="511D778B" w14:textId="7680D319" w:rsidR="00AA41CB" w:rsidRPr="00AA41CB"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rPr>
                            </w:pPr>
                            <w:r w:rsidRPr="00AA41CB">
                              <w:rPr>
                                <w:rFonts w:ascii="Open Sans" w:hAnsi="Open Sans" w:cs="Open Sans"/>
                                <w:i/>
                                <w:iCs/>
                                <w:color w:val="44546A" w:themeColor="text2"/>
                                <w:sz w:val="24"/>
                                <w:szCs w:val="24"/>
                              </w:rPr>
                              <w:t>Jess Bedingfield, Community and Economic Development Program Coordinator</w:t>
                            </w:r>
                          </w:p>
                          <w:p w14:paraId="472F586C" w14:textId="1CD01B1F" w:rsidR="00AA41CB" w:rsidRPr="00AA41CB"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rPr>
                            </w:pPr>
                            <w:r w:rsidRPr="00AA41CB">
                              <w:rPr>
                                <w:rFonts w:ascii="Open Sans" w:hAnsi="Open Sans" w:cs="Open Sans"/>
                                <w:i/>
                                <w:iCs/>
                                <w:color w:val="44546A" w:themeColor="text2"/>
                                <w:sz w:val="24"/>
                                <w:szCs w:val="24"/>
                              </w:rPr>
                              <w:t>Mountainland Association of Governments (MAG)</w:t>
                            </w:r>
                          </w:p>
                          <w:p w14:paraId="76AD3705" w14:textId="15D6FEC4" w:rsidR="00AA41CB" w:rsidRPr="00F95504"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r w:rsidRPr="00F95504">
                              <w:rPr>
                                <w:rFonts w:ascii="Open Sans" w:hAnsi="Open Sans" w:cs="Open Sans"/>
                                <w:i/>
                                <w:iCs/>
                                <w:color w:val="44546A" w:themeColor="text2"/>
                                <w:sz w:val="24"/>
                                <w:szCs w:val="24"/>
                                <w:lang w:val="es-ES"/>
                              </w:rPr>
                              <w:t>586 E 800 N, Orem, UT 84097</w:t>
                            </w:r>
                          </w:p>
                          <w:p w14:paraId="73F85275" w14:textId="200A97D5" w:rsidR="00AA41CB" w:rsidRPr="00F95504"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r w:rsidRPr="00F95504">
                              <w:rPr>
                                <w:rFonts w:ascii="Open Sans" w:hAnsi="Open Sans" w:cs="Open Sans"/>
                                <w:i/>
                                <w:iCs/>
                                <w:color w:val="44546A" w:themeColor="text2"/>
                                <w:sz w:val="24"/>
                                <w:szCs w:val="24"/>
                                <w:lang w:val="es-ES"/>
                              </w:rPr>
                              <w:t>801.229.3691</w:t>
                            </w:r>
                          </w:p>
                          <w:p w14:paraId="3F7EBB66" w14:textId="2E156757" w:rsidR="00AA41CB" w:rsidRPr="00F95504" w:rsidRDefault="0071611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hyperlink r:id="rId8" w:history="1">
                              <w:r w:rsidR="00AA41CB" w:rsidRPr="00F95504">
                                <w:rPr>
                                  <w:rStyle w:val="Hyperlink"/>
                                  <w:rFonts w:ascii="Open Sans" w:hAnsi="Open Sans" w:cs="Open Sans"/>
                                  <w:i/>
                                  <w:iCs/>
                                  <w:sz w:val="24"/>
                                  <w:szCs w:val="24"/>
                                  <w:lang w:val="es-ES"/>
                                </w:rPr>
                                <w:t>jbedingfield@mountainland.org</w:t>
                              </w:r>
                            </w:hyperlink>
                          </w:p>
                        </w:txbxContent>
                      </wps:txbx>
                      <wps:bodyPr rot="0" vert="horz" wrap="square" lIns="91440" tIns="45720" rIns="91440" bIns="45720" anchor="t" anchorCtr="0">
                        <a:spAutoFit/>
                      </wps:bodyPr>
                    </wps:wsp>
                  </a:graphicData>
                </a:graphic>
              </wp:anchor>
            </w:drawing>
          </mc:Choice>
          <mc:Fallback>
            <w:pict>
              <v:shapetype w14:anchorId="5E5C17C0" id="_x0000_t202" coordsize="21600,21600" o:spt="202" path="m,l,21600r21600,l21600,xe">
                <v:stroke joinstyle="miter"/>
                <v:path gradientshapeok="t" o:connecttype="rect"/>
              </v:shapetype>
              <v:shape id="Text Box 2" o:spid="_x0000_s1026" type="#_x0000_t202" style="position:absolute;margin-left:12.4pt;margin-top:556.15pt;width:446.85pt;height:118.1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" filled="f" strokecolor="white [3212]">
                <v:textbox style="mso-fit-shape-to-text:t">
                  <w:txbxContent>
                    <w:p w14:paraId="511D778B" w14:textId="7680D319" w:rsidR="00AA41CB" w:rsidRPr="00AA41CB"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rPr>
                      </w:pPr>
                      <w:r w:rsidRPr="00AA41CB">
                        <w:rPr>
                          <w:rFonts w:ascii="Open Sans" w:hAnsi="Open Sans" w:cs="Open Sans"/>
                          <w:i/>
                          <w:iCs/>
                          <w:color w:val="44546A" w:themeColor="text2"/>
                          <w:sz w:val="24"/>
                          <w:szCs w:val="24"/>
                        </w:rPr>
                        <w:t>Jess Bedingfield, Community and Economic Development Program Coordinator</w:t>
                      </w:r>
                    </w:p>
                    <w:p w14:paraId="472F586C" w14:textId="1CD01B1F" w:rsidR="00AA41CB" w:rsidRPr="00AA41CB"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rPr>
                      </w:pPr>
                      <w:r w:rsidRPr="00AA41CB">
                        <w:rPr>
                          <w:rFonts w:ascii="Open Sans" w:hAnsi="Open Sans" w:cs="Open Sans"/>
                          <w:i/>
                          <w:iCs/>
                          <w:color w:val="44546A" w:themeColor="text2"/>
                          <w:sz w:val="24"/>
                          <w:szCs w:val="24"/>
                        </w:rPr>
                        <w:t>Mountainland Association of Governments (MAG)</w:t>
                      </w:r>
                    </w:p>
                    <w:p w14:paraId="76AD3705" w14:textId="15D6FEC4" w:rsidR="00AA41CB" w:rsidRPr="00F95504"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r w:rsidRPr="00F95504">
                        <w:rPr>
                          <w:rFonts w:ascii="Open Sans" w:hAnsi="Open Sans" w:cs="Open Sans"/>
                          <w:i/>
                          <w:iCs/>
                          <w:color w:val="44546A" w:themeColor="text2"/>
                          <w:sz w:val="24"/>
                          <w:szCs w:val="24"/>
                          <w:lang w:val="es-ES"/>
                        </w:rPr>
                        <w:t>586 E 800 N, Orem, UT 84097</w:t>
                      </w:r>
                    </w:p>
                    <w:p w14:paraId="73F85275" w14:textId="200A97D5" w:rsidR="00AA41CB" w:rsidRPr="00F95504" w:rsidRDefault="00AA41C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r w:rsidRPr="00F95504">
                        <w:rPr>
                          <w:rFonts w:ascii="Open Sans" w:hAnsi="Open Sans" w:cs="Open Sans"/>
                          <w:i/>
                          <w:iCs/>
                          <w:color w:val="44546A" w:themeColor="text2"/>
                          <w:sz w:val="24"/>
                          <w:szCs w:val="24"/>
                          <w:lang w:val="es-ES"/>
                        </w:rPr>
                        <w:t>801.229.3691</w:t>
                      </w:r>
                    </w:p>
                    <w:p w14:paraId="3F7EBB66" w14:textId="2E156757" w:rsidR="00AA41CB" w:rsidRPr="00F95504" w:rsidRDefault="0071611B" w:rsidP="00AA41CB">
                      <w:pPr>
                        <w:pBdr>
                          <w:top w:val="single" w:sz="24" w:space="8" w:color="4472C4" w:themeColor="accent1"/>
                          <w:bottom w:val="single" w:sz="24" w:space="8" w:color="4472C4" w:themeColor="accent1"/>
                        </w:pBdr>
                        <w:spacing w:after="0"/>
                        <w:jc w:val="center"/>
                        <w:rPr>
                          <w:rFonts w:ascii="Open Sans" w:hAnsi="Open Sans" w:cs="Open Sans"/>
                          <w:i/>
                          <w:iCs/>
                          <w:color w:val="44546A" w:themeColor="text2"/>
                          <w:sz w:val="24"/>
                          <w:szCs w:val="24"/>
                          <w:lang w:val="es-ES"/>
                        </w:rPr>
                      </w:pPr>
                      <w:hyperlink r:id="rId9" w:history="1">
                        <w:r w:rsidR="00AA41CB" w:rsidRPr="00F95504">
                          <w:rPr>
                            <w:rStyle w:val="Hyperlink"/>
                            <w:rFonts w:ascii="Open Sans" w:hAnsi="Open Sans" w:cs="Open Sans"/>
                            <w:i/>
                            <w:iCs/>
                            <w:sz w:val="24"/>
                            <w:szCs w:val="24"/>
                            <w:lang w:val="es-ES"/>
                          </w:rPr>
                          <w:t>jbedingfield@mountainland.org</w:t>
                        </w:r>
                      </w:hyperlink>
                    </w:p>
                  </w:txbxContent>
                </v:textbox>
                <w10:wrap anchory="page"/>
              </v:shape>
            </w:pict>
          </mc:Fallback>
        </mc:AlternateContent>
      </w:r>
      <w:r w:rsidRPr="00AA41CB">
        <w:rPr>
          <w:rFonts w:ascii="Open Sans ExtraBold" w:hAnsi="Open Sans ExtraBold" w:cs="Open Sans ExtraBold"/>
          <w:noProof/>
          <w:color w:val="4472C4" w:themeColor="accent1"/>
          <w:sz w:val="52"/>
          <w:szCs w:val="52"/>
        </w:rPr>
        <mc:AlternateContent>
          <mc:Choice Requires="wps">
            <w:drawing>
              <wp:anchor distT="45720" distB="45720" distL="114300" distR="114300" simplePos="0" relativeHeight="251661312" behindDoc="0" locked="0" layoutInCell="1" allowOverlap="1" wp14:anchorId="2726A315" wp14:editId="42701667">
                <wp:simplePos x="0" y="0"/>
                <wp:positionH relativeFrom="column">
                  <wp:posOffset>-268014</wp:posOffset>
                </wp:positionH>
                <wp:positionV relativeFrom="page">
                  <wp:posOffset>3657600</wp:posOffset>
                </wp:positionV>
                <wp:extent cx="6557645" cy="2933065"/>
                <wp:effectExtent l="0" t="0" r="1460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933065"/>
                        </a:xfrm>
                        <a:prstGeom prst="rect">
                          <a:avLst/>
                        </a:prstGeom>
                        <a:solidFill>
                          <a:srgbClr val="FFFFFF"/>
                        </a:solidFill>
                        <a:ln w="9525">
                          <a:solidFill>
                            <a:schemeClr val="bg1"/>
                          </a:solidFill>
                          <a:miter lim="800000"/>
                          <a:headEnd/>
                          <a:tailEnd/>
                        </a:ln>
                      </wps:spPr>
                      <wps:txbx>
                        <w:txbxContent>
                          <w:p w14:paraId="78672B14" w14:textId="5F9FE051" w:rsidR="00AA41CB"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MOUNTAINLAND SMALL CITIES</w:t>
                            </w:r>
                          </w:p>
                          <w:p w14:paraId="773DE72A" w14:textId="77777777" w:rsidR="00E74B7E"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 xml:space="preserve">COMMUNITY DEVELOPMENT BLOCK GRANT (CDBG) </w:t>
                            </w:r>
                          </w:p>
                          <w:p w14:paraId="136D753F" w14:textId="712017CC" w:rsidR="00AA41CB"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ANNUAL ACTION PLAN</w:t>
                            </w:r>
                          </w:p>
                          <w:p w14:paraId="4188D0BB" w14:textId="36DDFF2F" w:rsidR="00E74B7E"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SUMMIT AND WASATCH COUNTIES</w:t>
                            </w:r>
                          </w:p>
                          <w:p w14:paraId="7D938297" w14:textId="3861153D" w:rsidR="00E74B7E" w:rsidRPr="00E74B7E" w:rsidRDefault="00E74B7E" w:rsidP="00E74B7E">
                            <w:pPr>
                              <w:jc w:val="center"/>
                              <w:rPr>
                                <w:rFonts w:ascii="Open Sans ExtraBold" w:hAnsi="Open Sans ExtraBold" w:cs="Open Sans ExtraBold"/>
                                <w:color w:val="44546A" w:themeColor="text2"/>
                              </w:rPr>
                            </w:pPr>
                            <w:r>
                              <w:rPr>
                                <w:rFonts w:ascii="Open Sans ExtraBold" w:hAnsi="Open Sans ExtraBold" w:cs="Open Sans ExtraBold"/>
                                <w:color w:val="44546A" w:themeColor="text2"/>
                              </w:rPr>
                              <w:t>JULY 1</w:t>
                            </w:r>
                            <w:r w:rsidRPr="00E74B7E">
                              <w:rPr>
                                <w:rFonts w:ascii="Open Sans ExtraBold" w:hAnsi="Open Sans ExtraBold" w:cs="Open Sans ExtraBold"/>
                                <w:color w:val="44546A" w:themeColor="text2"/>
                                <w:vertAlign w:val="superscript"/>
                              </w:rPr>
                              <w:t>ST</w:t>
                            </w:r>
                            <w:r>
                              <w:rPr>
                                <w:rFonts w:ascii="Open Sans ExtraBold" w:hAnsi="Open Sans ExtraBold" w:cs="Open Sans ExtraBold"/>
                                <w:color w:val="44546A" w:themeColor="text2"/>
                              </w:rPr>
                              <w:t>, 2022 TO JUNE 31</w:t>
                            </w:r>
                            <w:r w:rsidRPr="00E74B7E">
                              <w:rPr>
                                <w:rFonts w:ascii="Open Sans ExtraBold" w:hAnsi="Open Sans ExtraBold" w:cs="Open Sans ExtraBold"/>
                                <w:color w:val="44546A" w:themeColor="text2"/>
                                <w:vertAlign w:val="superscript"/>
                              </w:rPr>
                              <w:t>ST</w:t>
                            </w:r>
                            <w:r>
                              <w:rPr>
                                <w:rFonts w:ascii="Open Sans ExtraBold" w:hAnsi="Open Sans ExtraBold" w:cs="Open Sans ExtraBold"/>
                                <w:color w:val="44546A" w:themeColor="text2"/>
                              </w:rPr>
                              <w:t>,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6A315" id="_x0000_s1027" type="#_x0000_t202" style="position:absolute;margin-left:-21.1pt;margin-top:4in;width:516.35pt;height:230.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" strokecolor="white [3212]">
                <v:textbox style="mso-fit-shape-to-text:t">
                  <w:txbxContent>
                    <w:p w14:paraId="78672B14" w14:textId="5F9FE051" w:rsidR="00AA41CB"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MOUNTAINLAND SMALL CITIES</w:t>
                      </w:r>
                    </w:p>
                    <w:p w14:paraId="773DE72A" w14:textId="77777777" w:rsidR="00E74B7E"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 xml:space="preserve">COMMUNITY DEVELOPMENT BLOCK GRANT (CDBG) </w:t>
                      </w:r>
                    </w:p>
                    <w:p w14:paraId="136D753F" w14:textId="712017CC" w:rsidR="00AA41CB"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ANNUAL ACTION PLAN</w:t>
                      </w:r>
                    </w:p>
                    <w:p w14:paraId="4188D0BB" w14:textId="36DDFF2F" w:rsidR="00E74B7E" w:rsidRDefault="00AA41CB" w:rsidP="00E74B7E">
                      <w:pPr>
                        <w:jc w:val="center"/>
                        <w:rPr>
                          <w:rFonts w:ascii="Open Sans ExtraBold" w:hAnsi="Open Sans ExtraBold" w:cs="Open Sans ExtraBold"/>
                          <w:color w:val="44546A" w:themeColor="text2"/>
                          <w:sz w:val="52"/>
                          <w:szCs w:val="52"/>
                        </w:rPr>
                      </w:pPr>
                      <w:r>
                        <w:rPr>
                          <w:rFonts w:ascii="Open Sans ExtraBold" w:hAnsi="Open Sans ExtraBold" w:cs="Open Sans ExtraBold"/>
                          <w:color w:val="44546A" w:themeColor="text2"/>
                          <w:sz w:val="52"/>
                          <w:szCs w:val="52"/>
                        </w:rPr>
                        <w:t>SUMMIT AND WASATCH COUNTIES</w:t>
                      </w:r>
                    </w:p>
                    <w:p w14:paraId="7D938297" w14:textId="3861153D" w:rsidR="00E74B7E" w:rsidRPr="00E74B7E" w:rsidRDefault="00E74B7E" w:rsidP="00E74B7E">
                      <w:pPr>
                        <w:jc w:val="center"/>
                        <w:rPr>
                          <w:rFonts w:ascii="Open Sans ExtraBold" w:hAnsi="Open Sans ExtraBold" w:cs="Open Sans ExtraBold"/>
                          <w:color w:val="44546A" w:themeColor="text2"/>
                        </w:rPr>
                      </w:pPr>
                      <w:r>
                        <w:rPr>
                          <w:rFonts w:ascii="Open Sans ExtraBold" w:hAnsi="Open Sans ExtraBold" w:cs="Open Sans ExtraBold"/>
                          <w:color w:val="44546A" w:themeColor="text2"/>
                        </w:rPr>
                        <w:t>JULY 1</w:t>
                      </w:r>
                      <w:r w:rsidRPr="00E74B7E">
                        <w:rPr>
                          <w:rFonts w:ascii="Open Sans ExtraBold" w:hAnsi="Open Sans ExtraBold" w:cs="Open Sans ExtraBold"/>
                          <w:color w:val="44546A" w:themeColor="text2"/>
                          <w:vertAlign w:val="superscript"/>
                        </w:rPr>
                        <w:t>ST</w:t>
                      </w:r>
                      <w:r>
                        <w:rPr>
                          <w:rFonts w:ascii="Open Sans ExtraBold" w:hAnsi="Open Sans ExtraBold" w:cs="Open Sans ExtraBold"/>
                          <w:color w:val="44546A" w:themeColor="text2"/>
                        </w:rPr>
                        <w:t>, 2022 TO JUNE 31</w:t>
                      </w:r>
                      <w:r w:rsidRPr="00E74B7E">
                        <w:rPr>
                          <w:rFonts w:ascii="Open Sans ExtraBold" w:hAnsi="Open Sans ExtraBold" w:cs="Open Sans ExtraBold"/>
                          <w:color w:val="44546A" w:themeColor="text2"/>
                          <w:vertAlign w:val="superscript"/>
                        </w:rPr>
                        <w:t>ST</w:t>
                      </w:r>
                      <w:r>
                        <w:rPr>
                          <w:rFonts w:ascii="Open Sans ExtraBold" w:hAnsi="Open Sans ExtraBold" w:cs="Open Sans ExtraBold"/>
                          <w:color w:val="44546A" w:themeColor="text2"/>
                        </w:rPr>
                        <w:t>, 2023</w:t>
                      </w:r>
                    </w:p>
                  </w:txbxContent>
                </v:textbox>
                <w10:wrap anchory="page"/>
              </v:shape>
            </w:pict>
          </mc:Fallback>
        </mc:AlternateContent>
      </w:r>
      <w:r>
        <w:rPr>
          <w:noProof/>
        </w:rPr>
        <w:drawing>
          <wp:anchor distT="0" distB="0" distL="114300" distR="114300" simplePos="0" relativeHeight="251659264" behindDoc="0" locked="0" layoutInCell="1" allowOverlap="1" wp14:anchorId="300AB534" wp14:editId="7B507DFD">
            <wp:simplePos x="0" y="0"/>
            <wp:positionH relativeFrom="column">
              <wp:posOffset>125730</wp:posOffset>
            </wp:positionH>
            <wp:positionV relativeFrom="page">
              <wp:posOffset>1386840</wp:posOffset>
            </wp:positionV>
            <wp:extent cx="5696585" cy="150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6585" cy="1508760"/>
                    </a:xfrm>
                    <a:prstGeom prst="rect">
                      <a:avLst/>
                    </a:prstGeom>
                    <a:noFill/>
                  </pic:spPr>
                </pic:pic>
              </a:graphicData>
            </a:graphic>
          </wp:anchor>
        </w:drawing>
      </w:r>
      <w:r>
        <w:rPr>
          <w:rFonts w:ascii="Open Sans ExtraBold" w:hAnsi="Open Sans ExtraBold" w:cs="Open Sans ExtraBold"/>
          <w:color w:val="4472C4" w:themeColor="accent1"/>
          <w:sz w:val="52"/>
          <w:szCs w:val="52"/>
        </w:rPr>
        <w:t xml:space="preserve">        </w:t>
      </w:r>
    </w:p>
    <w:sdt>
      <w:sdtPr>
        <w:rPr>
          <w:rFonts w:asciiTheme="minorHAnsi" w:eastAsiaTheme="minorHAnsi" w:hAnsiTheme="minorHAnsi" w:cstheme="minorBidi"/>
          <w:color w:val="auto"/>
          <w:sz w:val="22"/>
          <w:szCs w:val="22"/>
        </w:rPr>
        <w:id w:val="217252205"/>
        <w:docPartObj>
          <w:docPartGallery w:val="Table of Contents"/>
          <w:docPartUnique/>
        </w:docPartObj>
      </w:sdtPr>
      <w:sdtEndPr>
        <w:rPr>
          <w:b/>
          <w:bCs/>
          <w:noProof/>
        </w:rPr>
      </w:sdtEndPr>
      <w:sdtContent>
        <w:p w14:paraId="68CE6D12" w14:textId="6D202D5F" w:rsidR="00F005CA" w:rsidRDefault="00F005CA">
          <w:pPr>
            <w:pStyle w:val="TOCHeading"/>
          </w:pPr>
          <w:r>
            <w:t>Contents</w:t>
          </w:r>
        </w:p>
        <w:p w14:paraId="13F8C960" w14:textId="71FC5709" w:rsidR="00F005CA" w:rsidRPr="00F005CA" w:rsidRDefault="00F005CA">
          <w:pPr>
            <w:pStyle w:val="TOC1"/>
            <w:tabs>
              <w:tab w:val="right" w:leader="dot" w:pos="9350"/>
            </w:tabs>
            <w:rPr>
              <w:rFonts w:ascii="Open Sans" w:hAnsi="Open Sans" w:cs="Open Sans"/>
              <w:noProof/>
              <w:color w:val="44546A" w:themeColor="text2"/>
              <w:sz w:val="24"/>
              <w:szCs w:val="24"/>
            </w:rPr>
          </w:pPr>
          <w:r>
            <w:fldChar w:fldCharType="begin"/>
          </w:r>
          <w:r>
            <w:instrText xml:space="preserve"> TOC \o "1-3" \h \z \u </w:instrText>
          </w:r>
          <w:r>
            <w:fldChar w:fldCharType="separate"/>
          </w:r>
          <w:hyperlink w:anchor="_Toc85453901" w:history="1">
            <w:r w:rsidRPr="00F005CA">
              <w:rPr>
                <w:rStyle w:val="Hyperlink"/>
                <w:rFonts w:ascii="Open Sans" w:hAnsi="Open Sans" w:cs="Open Sans"/>
                <w:noProof/>
                <w:color w:val="44546A" w:themeColor="text2"/>
                <w:sz w:val="24"/>
                <w:szCs w:val="24"/>
              </w:rPr>
              <w:t>EXECUTIVE SUMMARY</w:t>
            </w:r>
            <w:r w:rsidRPr="00F005CA">
              <w:rPr>
                <w:rFonts w:ascii="Open Sans" w:hAnsi="Open Sans" w:cs="Open Sans"/>
                <w:noProof/>
                <w:webHidden/>
                <w:color w:val="44546A" w:themeColor="text2"/>
                <w:sz w:val="24"/>
                <w:szCs w:val="24"/>
              </w:rPr>
              <w:tab/>
            </w:r>
            <w:r w:rsidRPr="00F005CA">
              <w:rPr>
                <w:rFonts w:ascii="Open Sans" w:hAnsi="Open Sans" w:cs="Open Sans"/>
                <w:noProof/>
                <w:webHidden/>
                <w:color w:val="44546A" w:themeColor="text2"/>
                <w:sz w:val="24"/>
                <w:szCs w:val="24"/>
              </w:rPr>
              <w:fldChar w:fldCharType="begin"/>
            </w:r>
            <w:r w:rsidRPr="00F005CA">
              <w:rPr>
                <w:rFonts w:ascii="Open Sans" w:hAnsi="Open Sans" w:cs="Open Sans"/>
                <w:noProof/>
                <w:webHidden/>
                <w:color w:val="44546A" w:themeColor="text2"/>
                <w:sz w:val="24"/>
                <w:szCs w:val="24"/>
              </w:rPr>
              <w:instrText xml:space="preserve"> PAGEREF _Toc85453901 \h </w:instrText>
            </w:r>
            <w:r w:rsidRPr="00F005CA">
              <w:rPr>
                <w:rFonts w:ascii="Open Sans" w:hAnsi="Open Sans" w:cs="Open Sans"/>
                <w:noProof/>
                <w:webHidden/>
                <w:color w:val="44546A" w:themeColor="text2"/>
                <w:sz w:val="24"/>
                <w:szCs w:val="24"/>
              </w:rPr>
            </w:r>
            <w:r w:rsidRPr="00F005CA">
              <w:rPr>
                <w:rFonts w:ascii="Open Sans" w:hAnsi="Open Sans" w:cs="Open Sans"/>
                <w:noProof/>
                <w:webHidden/>
                <w:color w:val="44546A" w:themeColor="text2"/>
                <w:sz w:val="24"/>
                <w:szCs w:val="24"/>
              </w:rPr>
              <w:fldChar w:fldCharType="separate"/>
            </w:r>
            <w:r w:rsidRPr="00F005CA">
              <w:rPr>
                <w:rFonts w:ascii="Open Sans" w:hAnsi="Open Sans" w:cs="Open Sans"/>
                <w:noProof/>
                <w:webHidden/>
                <w:color w:val="44546A" w:themeColor="text2"/>
                <w:sz w:val="24"/>
                <w:szCs w:val="24"/>
              </w:rPr>
              <w:t>3</w:t>
            </w:r>
            <w:r w:rsidRPr="00F005CA">
              <w:rPr>
                <w:rFonts w:ascii="Open Sans" w:hAnsi="Open Sans" w:cs="Open Sans"/>
                <w:noProof/>
                <w:webHidden/>
                <w:color w:val="44546A" w:themeColor="text2"/>
                <w:sz w:val="24"/>
                <w:szCs w:val="24"/>
              </w:rPr>
              <w:fldChar w:fldCharType="end"/>
            </w:r>
          </w:hyperlink>
        </w:p>
        <w:p w14:paraId="4A5215CE" w14:textId="504F61C8"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2" w:history="1">
            <w:r w:rsidR="00F005CA" w:rsidRPr="00F005CA">
              <w:rPr>
                <w:rStyle w:val="Hyperlink"/>
                <w:rFonts w:ascii="Open Sans" w:hAnsi="Open Sans" w:cs="Open Sans"/>
                <w:noProof/>
                <w:color w:val="44546A" w:themeColor="text2"/>
                <w:sz w:val="24"/>
                <w:szCs w:val="24"/>
              </w:rPr>
              <w:t>OUTREACH</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_Toc85453902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7</w:t>
            </w:r>
            <w:r w:rsidR="00F005CA" w:rsidRPr="00F005CA">
              <w:rPr>
                <w:rFonts w:ascii="Open Sans" w:hAnsi="Open Sans" w:cs="Open Sans"/>
                <w:noProof/>
                <w:webHidden/>
                <w:color w:val="44546A" w:themeColor="text2"/>
                <w:sz w:val="24"/>
                <w:szCs w:val="24"/>
              </w:rPr>
              <w:fldChar w:fldCharType="end"/>
            </w:r>
          </w:hyperlink>
        </w:p>
        <w:p w14:paraId="4A1B66F0" w14:textId="57DD4789" w:rsidR="00F005CA" w:rsidRPr="00F005CA" w:rsidRDefault="0071611B">
          <w:pPr>
            <w:pStyle w:val="TOC2"/>
            <w:tabs>
              <w:tab w:val="right" w:leader="dot" w:pos="9350"/>
            </w:tabs>
            <w:rPr>
              <w:rFonts w:ascii="Open Sans" w:hAnsi="Open Sans" w:cs="Open Sans"/>
              <w:noProof/>
              <w:color w:val="44546A" w:themeColor="text2"/>
              <w:sz w:val="24"/>
              <w:szCs w:val="24"/>
            </w:rPr>
          </w:pPr>
          <w:hyperlink w:anchor="_Toc85453903" w:history="1">
            <w:r w:rsidR="00F005CA" w:rsidRPr="00F005CA">
              <w:rPr>
                <w:rStyle w:val="Hyperlink"/>
                <w:rFonts w:ascii="Open Sans" w:hAnsi="Open Sans" w:cs="Open Sans"/>
                <w:noProof/>
                <w:color w:val="44546A" w:themeColor="text2"/>
                <w:sz w:val="24"/>
                <w:szCs w:val="24"/>
              </w:rPr>
              <w:t>Consultation</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_Toc85453903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7</w:t>
            </w:r>
            <w:r w:rsidR="00F005CA" w:rsidRPr="00F005CA">
              <w:rPr>
                <w:rFonts w:ascii="Open Sans" w:hAnsi="Open Sans" w:cs="Open Sans"/>
                <w:noProof/>
                <w:webHidden/>
                <w:color w:val="44546A" w:themeColor="text2"/>
                <w:sz w:val="24"/>
                <w:szCs w:val="24"/>
              </w:rPr>
              <w:fldChar w:fldCharType="end"/>
            </w:r>
          </w:hyperlink>
        </w:p>
        <w:p w14:paraId="1848DCA2" w14:textId="17D1B3F7" w:rsidR="00F005CA" w:rsidRPr="00F005CA" w:rsidRDefault="0071611B">
          <w:pPr>
            <w:pStyle w:val="TOC2"/>
            <w:tabs>
              <w:tab w:val="right" w:leader="dot" w:pos="9350"/>
            </w:tabs>
            <w:rPr>
              <w:rFonts w:ascii="Open Sans" w:hAnsi="Open Sans" w:cs="Open Sans"/>
              <w:noProof/>
              <w:color w:val="44546A" w:themeColor="text2"/>
              <w:sz w:val="24"/>
              <w:szCs w:val="24"/>
            </w:rPr>
          </w:pPr>
          <w:hyperlink w:anchor="_Toc85453904" w:history="1">
            <w:r w:rsidR="00F005CA" w:rsidRPr="00F005CA">
              <w:rPr>
                <w:rStyle w:val="Hyperlink"/>
                <w:rFonts w:ascii="Open Sans" w:hAnsi="Open Sans" w:cs="Open Sans"/>
                <w:noProof/>
                <w:color w:val="44546A" w:themeColor="text2"/>
                <w:sz w:val="24"/>
                <w:szCs w:val="24"/>
              </w:rPr>
              <w:t>Citizen Participation</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_Toc85453904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10</w:t>
            </w:r>
            <w:r w:rsidR="00F005CA" w:rsidRPr="00F005CA">
              <w:rPr>
                <w:rFonts w:ascii="Open Sans" w:hAnsi="Open Sans" w:cs="Open Sans"/>
                <w:noProof/>
                <w:webHidden/>
                <w:color w:val="44546A" w:themeColor="text2"/>
                <w:sz w:val="24"/>
                <w:szCs w:val="24"/>
              </w:rPr>
              <w:fldChar w:fldCharType="end"/>
            </w:r>
          </w:hyperlink>
        </w:p>
        <w:p w14:paraId="3E44E55B" w14:textId="664F05AD"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5" w:history="1">
            <w:r w:rsidR="00F005CA" w:rsidRPr="00F005CA">
              <w:rPr>
                <w:rStyle w:val="Hyperlink"/>
                <w:rFonts w:ascii="Open Sans" w:hAnsi="Open Sans" w:cs="Open Sans"/>
                <w:noProof/>
                <w:color w:val="44546A" w:themeColor="text2"/>
                <w:sz w:val="24"/>
                <w:szCs w:val="24"/>
              </w:rPr>
              <w:t>EXPECTED RESOURCES</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_Toc85453905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11</w:t>
            </w:r>
            <w:r w:rsidR="00F005CA" w:rsidRPr="00F005CA">
              <w:rPr>
                <w:rFonts w:ascii="Open Sans" w:hAnsi="Open Sans" w:cs="Open Sans"/>
                <w:noProof/>
                <w:webHidden/>
                <w:color w:val="44546A" w:themeColor="text2"/>
                <w:sz w:val="24"/>
                <w:szCs w:val="24"/>
              </w:rPr>
              <w:fldChar w:fldCharType="end"/>
            </w:r>
          </w:hyperlink>
        </w:p>
        <w:p w14:paraId="741F97DE" w14:textId="4B4CB39D"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6" w:history="1">
            <w:r w:rsidR="00F005CA" w:rsidRPr="00F005CA">
              <w:rPr>
                <w:rStyle w:val="Hyperlink"/>
                <w:rFonts w:ascii="Open Sans" w:hAnsi="Open Sans" w:cs="Open Sans"/>
                <w:noProof/>
                <w:color w:val="44546A" w:themeColor="text2"/>
                <w:sz w:val="24"/>
                <w:szCs w:val="24"/>
              </w:rPr>
              <w:t>GOALS AND OBJECTIVES</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_Toc85453906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12</w:t>
            </w:r>
            <w:r w:rsidR="00F005CA" w:rsidRPr="00F005CA">
              <w:rPr>
                <w:rFonts w:ascii="Open Sans" w:hAnsi="Open Sans" w:cs="Open Sans"/>
                <w:noProof/>
                <w:webHidden/>
                <w:color w:val="44546A" w:themeColor="text2"/>
                <w:sz w:val="24"/>
                <w:szCs w:val="24"/>
              </w:rPr>
              <w:fldChar w:fldCharType="end"/>
            </w:r>
          </w:hyperlink>
        </w:p>
        <w:p w14:paraId="7B12083F" w14:textId="615F8E54"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7" w:history="1">
            <w:r w:rsidR="00F005CA" w:rsidRPr="00F005CA">
              <w:rPr>
                <w:rStyle w:val="Hyperlink"/>
                <w:rFonts w:ascii="Open Sans" w:hAnsi="Open Sans" w:cs="Open Sans"/>
                <w:noProof/>
                <w:color w:val="44546A" w:themeColor="text2"/>
                <w:sz w:val="24"/>
                <w:szCs w:val="24"/>
              </w:rPr>
              <w:t>ALLOCATION PRIORITIES</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_Toc85453907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14</w:t>
            </w:r>
            <w:r w:rsidR="00F005CA" w:rsidRPr="00F005CA">
              <w:rPr>
                <w:rFonts w:ascii="Open Sans" w:hAnsi="Open Sans" w:cs="Open Sans"/>
                <w:noProof/>
                <w:webHidden/>
                <w:color w:val="44546A" w:themeColor="text2"/>
                <w:sz w:val="24"/>
                <w:szCs w:val="24"/>
              </w:rPr>
              <w:fldChar w:fldCharType="end"/>
            </w:r>
          </w:hyperlink>
        </w:p>
        <w:p w14:paraId="7DD3489A" w14:textId="177CEF60"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8" w:history="1">
            <w:r w:rsidR="00F005CA" w:rsidRPr="00F005CA">
              <w:rPr>
                <w:rStyle w:val="Hyperlink"/>
                <w:rFonts w:ascii="Open Sans" w:hAnsi="Open Sans" w:cs="Open Sans"/>
                <w:noProof/>
                <w:color w:val="44546A" w:themeColor="text2"/>
                <w:sz w:val="24"/>
                <w:szCs w:val="24"/>
              </w:rPr>
              <w:t>PUBLIC HOUSING</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_Toc85453908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16</w:t>
            </w:r>
            <w:r w:rsidR="00F005CA" w:rsidRPr="00F005CA">
              <w:rPr>
                <w:rFonts w:ascii="Open Sans" w:hAnsi="Open Sans" w:cs="Open Sans"/>
                <w:noProof/>
                <w:webHidden/>
                <w:color w:val="44546A" w:themeColor="text2"/>
                <w:sz w:val="24"/>
                <w:szCs w:val="24"/>
              </w:rPr>
              <w:fldChar w:fldCharType="end"/>
            </w:r>
          </w:hyperlink>
        </w:p>
        <w:p w14:paraId="2D95358E" w14:textId="2090709F"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09" w:history="1">
            <w:r w:rsidR="00F005CA" w:rsidRPr="00F005CA">
              <w:rPr>
                <w:rStyle w:val="Hyperlink"/>
                <w:rFonts w:ascii="Open Sans" w:hAnsi="Open Sans" w:cs="Open Sans"/>
                <w:noProof/>
                <w:color w:val="44546A" w:themeColor="text2"/>
                <w:sz w:val="24"/>
                <w:szCs w:val="24"/>
              </w:rPr>
              <w:t>BARRIERS TO AFFORDABLE HOUSING</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_Toc85453909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17</w:t>
            </w:r>
            <w:r w:rsidR="00F005CA" w:rsidRPr="00F005CA">
              <w:rPr>
                <w:rFonts w:ascii="Open Sans" w:hAnsi="Open Sans" w:cs="Open Sans"/>
                <w:noProof/>
                <w:webHidden/>
                <w:color w:val="44546A" w:themeColor="text2"/>
                <w:sz w:val="24"/>
                <w:szCs w:val="24"/>
              </w:rPr>
              <w:fldChar w:fldCharType="end"/>
            </w:r>
          </w:hyperlink>
        </w:p>
        <w:p w14:paraId="50345AEE" w14:textId="7795606C" w:rsidR="00F005CA" w:rsidRPr="00F005CA" w:rsidRDefault="0071611B">
          <w:pPr>
            <w:pStyle w:val="TOC1"/>
            <w:tabs>
              <w:tab w:val="right" w:leader="dot" w:pos="9350"/>
            </w:tabs>
            <w:rPr>
              <w:rFonts w:ascii="Open Sans" w:hAnsi="Open Sans" w:cs="Open Sans"/>
              <w:noProof/>
              <w:color w:val="44546A" w:themeColor="text2"/>
              <w:sz w:val="24"/>
              <w:szCs w:val="24"/>
            </w:rPr>
          </w:pPr>
          <w:hyperlink w:anchor="_Toc85453910" w:history="1">
            <w:r w:rsidR="00F005CA" w:rsidRPr="00F005CA">
              <w:rPr>
                <w:rStyle w:val="Hyperlink"/>
                <w:rFonts w:ascii="Open Sans" w:hAnsi="Open Sans" w:cs="Open Sans"/>
                <w:noProof/>
                <w:color w:val="44546A" w:themeColor="text2"/>
                <w:sz w:val="24"/>
                <w:szCs w:val="24"/>
              </w:rPr>
              <w:t>OTHER</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_Toc85453910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18</w:t>
            </w:r>
            <w:r w:rsidR="00F005CA" w:rsidRPr="00F005CA">
              <w:rPr>
                <w:rFonts w:ascii="Open Sans" w:hAnsi="Open Sans" w:cs="Open Sans"/>
                <w:noProof/>
                <w:webHidden/>
                <w:color w:val="44546A" w:themeColor="text2"/>
                <w:sz w:val="24"/>
                <w:szCs w:val="24"/>
              </w:rPr>
              <w:fldChar w:fldCharType="end"/>
            </w:r>
          </w:hyperlink>
        </w:p>
        <w:p w14:paraId="03914E35" w14:textId="778AA721" w:rsidR="00F005CA" w:rsidRPr="00F005CA" w:rsidRDefault="0071611B">
          <w:pPr>
            <w:pStyle w:val="TOC1"/>
            <w:tabs>
              <w:tab w:val="left" w:pos="1320"/>
              <w:tab w:val="right" w:leader="dot" w:pos="9350"/>
            </w:tabs>
            <w:rPr>
              <w:rFonts w:ascii="Open Sans" w:hAnsi="Open Sans" w:cs="Open Sans"/>
              <w:noProof/>
              <w:color w:val="44546A" w:themeColor="text2"/>
              <w:sz w:val="24"/>
              <w:szCs w:val="24"/>
            </w:rPr>
          </w:pPr>
          <w:hyperlink w:anchor="_Toc85453911" w:history="1">
            <w:r w:rsidR="00F005CA" w:rsidRPr="00F005CA">
              <w:rPr>
                <w:rStyle w:val="Hyperlink"/>
                <w:rFonts w:ascii="Open Sans" w:hAnsi="Open Sans" w:cs="Open Sans"/>
                <w:noProof/>
                <w:color w:val="44546A" w:themeColor="text2"/>
                <w:sz w:val="24"/>
                <w:szCs w:val="24"/>
              </w:rPr>
              <w:t>Appendix 1</w:t>
            </w:r>
            <w:r w:rsidR="00F005CA" w:rsidRPr="00F005CA">
              <w:rPr>
                <w:rFonts w:ascii="Open Sans" w:hAnsi="Open Sans" w:cs="Open Sans"/>
                <w:noProof/>
                <w:color w:val="44546A" w:themeColor="text2"/>
                <w:sz w:val="24"/>
                <w:szCs w:val="24"/>
              </w:rPr>
              <w:tab/>
            </w:r>
            <w:r w:rsidR="00F005CA" w:rsidRPr="00F005CA">
              <w:rPr>
                <w:rStyle w:val="Hyperlink"/>
                <w:rFonts w:ascii="Open Sans" w:hAnsi="Open Sans" w:cs="Open Sans"/>
                <w:noProof/>
                <w:color w:val="44546A" w:themeColor="text2"/>
                <w:sz w:val="24"/>
                <w:szCs w:val="24"/>
              </w:rPr>
              <w:t>Consultation Form</w:t>
            </w:r>
            <w:r w:rsidR="00F005CA" w:rsidRPr="00F005CA">
              <w:rPr>
                <w:rFonts w:ascii="Open Sans" w:hAnsi="Open Sans" w:cs="Open Sans"/>
                <w:noProof/>
                <w:webHidden/>
                <w:color w:val="44546A" w:themeColor="text2"/>
                <w:sz w:val="24"/>
                <w:szCs w:val="24"/>
              </w:rPr>
              <w:tab/>
            </w:r>
            <w:r w:rsidR="00F005CA" w:rsidRPr="00F005CA">
              <w:rPr>
                <w:rFonts w:ascii="Open Sans" w:hAnsi="Open Sans" w:cs="Open Sans"/>
                <w:noProof/>
                <w:webHidden/>
                <w:color w:val="44546A" w:themeColor="text2"/>
                <w:sz w:val="24"/>
                <w:szCs w:val="24"/>
              </w:rPr>
              <w:fldChar w:fldCharType="begin"/>
            </w:r>
            <w:r w:rsidR="00F005CA" w:rsidRPr="00F005CA">
              <w:rPr>
                <w:rFonts w:ascii="Open Sans" w:hAnsi="Open Sans" w:cs="Open Sans"/>
                <w:noProof/>
                <w:webHidden/>
                <w:color w:val="44546A" w:themeColor="text2"/>
                <w:sz w:val="24"/>
                <w:szCs w:val="24"/>
              </w:rPr>
              <w:instrText xml:space="preserve"> PAGEREF _Toc85453911 \h </w:instrText>
            </w:r>
            <w:r w:rsidR="00F005CA" w:rsidRPr="00F005CA">
              <w:rPr>
                <w:rFonts w:ascii="Open Sans" w:hAnsi="Open Sans" w:cs="Open Sans"/>
                <w:noProof/>
                <w:webHidden/>
                <w:color w:val="44546A" w:themeColor="text2"/>
                <w:sz w:val="24"/>
                <w:szCs w:val="24"/>
              </w:rPr>
            </w:r>
            <w:r w:rsidR="00F005CA" w:rsidRPr="00F005CA">
              <w:rPr>
                <w:rFonts w:ascii="Open Sans" w:hAnsi="Open Sans" w:cs="Open Sans"/>
                <w:noProof/>
                <w:webHidden/>
                <w:color w:val="44546A" w:themeColor="text2"/>
                <w:sz w:val="24"/>
                <w:szCs w:val="24"/>
              </w:rPr>
              <w:fldChar w:fldCharType="separate"/>
            </w:r>
            <w:r w:rsidR="00F005CA" w:rsidRPr="00F005CA">
              <w:rPr>
                <w:rFonts w:ascii="Open Sans" w:hAnsi="Open Sans" w:cs="Open Sans"/>
                <w:noProof/>
                <w:webHidden/>
                <w:color w:val="44546A" w:themeColor="text2"/>
                <w:sz w:val="24"/>
                <w:szCs w:val="24"/>
              </w:rPr>
              <w:t>19</w:t>
            </w:r>
            <w:r w:rsidR="00F005CA" w:rsidRPr="00F005CA">
              <w:rPr>
                <w:rFonts w:ascii="Open Sans" w:hAnsi="Open Sans" w:cs="Open Sans"/>
                <w:noProof/>
                <w:webHidden/>
                <w:color w:val="44546A" w:themeColor="text2"/>
                <w:sz w:val="24"/>
                <w:szCs w:val="24"/>
              </w:rPr>
              <w:fldChar w:fldCharType="end"/>
            </w:r>
          </w:hyperlink>
        </w:p>
        <w:p w14:paraId="523B2C1F" w14:textId="1D3AA031" w:rsidR="00F005CA" w:rsidRDefault="00F005CA">
          <w:r>
            <w:rPr>
              <w:b/>
              <w:bCs/>
              <w:noProof/>
            </w:rPr>
            <w:fldChar w:fldCharType="end"/>
          </w:r>
        </w:p>
      </w:sdtContent>
    </w:sdt>
    <w:p w14:paraId="22D5D7C0" w14:textId="7F788AFD" w:rsidR="00E74B7E" w:rsidRDefault="00E74B7E">
      <w:pPr>
        <w:rPr>
          <w:rFonts w:ascii="Open Sans ExtraBold" w:hAnsi="Open Sans ExtraBold" w:cs="Open Sans ExtraBold"/>
          <w:color w:val="4472C4" w:themeColor="accent1"/>
          <w:sz w:val="52"/>
          <w:szCs w:val="52"/>
        </w:rPr>
      </w:pPr>
      <w:r>
        <w:rPr>
          <w:rFonts w:ascii="Open Sans ExtraBold" w:hAnsi="Open Sans ExtraBold" w:cs="Open Sans ExtraBold"/>
          <w:color w:val="4472C4" w:themeColor="accent1"/>
          <w:sz w:val="52"/>
          <w:szCs w:val="52"/>
        </w:rPr>
        <w:br w:type="page"/>
      </w:r>
    </w:p>
    <w:p w14:paraId="4E791734" w14:textId="20845699" w:rsidR="00E74B7E" w:rsidRPr="000766CC" w:rsidRDefault="00E74B7E" w:rsidP="00726C50">
      <w:pPr>
        <w:pStyle w:val="Heading1"/>
        <w:rPr>
          <w:rFonts w:ascii="Open Sans ExtraBold" w:hAnsi="Open Sans ExtraBold" w:cs="Open Sans ExtraBold"/>
          <w:color w:val="44546A" w:themeColor="text2"/>
          <w:sz w:val="28"/>
          <w:szCs w:val="28"/>
        </w:rPr>
      </w:pPr>
      <w:bookmarkStart w:id="0" w:name="_Toc85453901"/>
      <w:r w:rsidRPr="000766CC">
        <w:rPr>
          <w:rFonts w:ascii="Open Sans ExtraBold" w:hAnsi="Open Sans ExtraBold" w:cs="Open Sans ExtraBold"/>
          <w:color w:val="44546A" w:themeColor="text2"/>
          <w:sz w:val="28"/>
          <w:szCs w:val="28"/>
        </w:rPr>
        <w:lastRenderedPageBreak/>
        <w:t>EXECUTIVE SUMMARY</w:t>
      </w:r>
      <w:bookmarkEnd w:id="0"/>
    </w:p>
    <w:p w14:paraId="0FFAF4CA" w14:textId="0397A513" w:rsidR="00E74B7E" w:rsidRPr="000766CC" w:rsidRDefault="00E74B7E" w:rsidP="00E74B7E">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Evaluation of Current Needs</w:t>
      </w:r>
    </w:p>
    <w:p w14:paraId="6BA489BD" w14:textId="1AE5D1A8" w:rsidR="00E74B7E" w:rsidRPr="000766CC" w:rsidRDefault="000766CC" w:rsidP="00E74B7E">
      <w:pPr>
        <w:rPr>
          <w:rFonts w:ascii="Open Sans" w:hAnsi="Open Sans" w:cs="Open Sans"/>
          <w:color w:val="44546A" w:themeColor="text2"/>
          <w:sz w:val="24"/>
          <w:szCs w:val="24"/>
        </w:rPr>
      </w:pPr>
      <w:bookmarkStart w:id="1" w:name="_Hlk85452548"/>
      <w:r w:rsidRPr="000766CC">
        <w:rPr>
          <w:rFonts w:ascii="Open Sans" w:hAnsi="Open Sans" w:cs="Open Sans"/>
          <w:color w:val="44546A" w:themeColor="text2"/>
          <w:sz w:val="24"/>
          <w:szCs w:val="24"/>
        </w:rPr>
        <w:t>The Mountainland Association of Governments brings local elected officials together for the purpose of identification of regional priorities, and to make plans, policies and funding decisions that address those priorities. This cooperative process provides input into a range of community development, economic development, transportation, and human service issues.</w:t>
      </w:r>
    </w:p>
    <w:bookmarkEnd w:id="1"/>
    <w:p w14:paraId="4E4CDB11" w14:textId="1DEF93A1" w:rsidR="00E74B7E" w:rsidRPr="000766CC" w:rsidRDefault="00E74B7E" w:rsidP="00E74B7E">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Community Development</w:t>
      </w:r>
    </w:p>
    <w:p w14:paraId="6E9F476C" w14:textId="1C29A4B7" w:rsidR="000766CC" w:rsidRPr="000766CC" w:rsidRDefault="000766CC" w:rsidP="000766CC">
      <w:pPr>
        <w:rPr>
          <w:rFonts w:ascii="Open Sans" w:hAnsi="Open Sans" w:cs="Open Sans"/>
          <w:color w:val="44546A" w:themeColor="text2"/>
          <w:sz w:val="24"/>
          <w:szCs w:val="24"/>
        </w:rPr>
      </w:pPr>
      <w:r w:rsidRPr="000766CC">
        <w:rPr>
          <w:rFonts w:ascii="Open Sans" w:hAnsi="Open Sans" w:cs="Open Sans"/>
          <w:color w:val="44546A" w:themeColor="text2"/>
          <w:sz w:val="24"/>
          <w:szCs w:val="24"/>
        </w:rPr>
        <w:t>The top priority of the region is the development and maintenance of community infrastructure to meet citizen needs.  While growth in the area has created opportunity, there have also been new challenges for local governments.  Priorities in this area focus on providing essential services and creating livable communities.</w:t>
      </w:r>
      <w:r>
        <w:rPr>
          <w:rFonts w:ascii="Open Sans" w:hAnsi="Open Sans" w:cs="Open Sans"/>
          <w:color w:val="44546A" w:themeColor="text2"/>
          <w:sz w:val="24"/>
          <w:szCs w:val="24"/>
        </w:rPr>
        <w:t xml:space="preserve"> These priorities have included:</w:t>
      </w:r>
    </w:p>
    <w:p w14:paraId="3425D821" w14:textId="77963F86" w:rsidR="000766CC" w:rsidRPr="000766CC" w:rsidRDefault="000766CC" w:rsidP="000766CC">
      <w:pPr>
        <w:pStyle w:val="ListParagraph"/>
        <w:numPr>
          <w:ilvl w:val="0"/>
          <w:numId w:val="1"/>
        </w:numPr>
        <w:rPr>
          <w:rFonts w:ascii="Open Sans" w:hAnsi="Open Sans" w:cs="Open Sans"/>
          <w:color w:val="44546A" w:themeColor="text2"/>
          <w:sz w:val="24"/>
          <w:szCs w:val="24"/>
        </w:rPr>
      </w:pPr>
      <w:r w:rsidRPr="000766CC">
        <w:rPr>
          <w:rFonts w:ascii="Open Sans" w:hAnsi="Open Sans" w:cs="Open Sans"/>
          <w:color w:val="44546A" w:themeColor="text2"/>
          <w:sz w:val="24"/>
          <w:szCs w:val="24"/>
        </w:rPr>
        <w:t>Development and/or improvement to community infrastructure are significant priorities.  While water and public safety services are determined to be critical, other types of infrastructure are also important to maintaining quality of life for all citizens.</w:t>
      </w:r>
    </w:p>
    <w:p w14:paraId="2AE13AD6" w14:textId="77777777" w:rsidR="000766CC" w:rsidRPr="000766CC" w:rsidRDefault="000766CC" w:rsidP="000766CC">
      <w:pPr>
        <w:rPr>
          <w:rFonts w:ascii="Open Sans" w:hAnsi="Open Sans" w:cs="Open Sans"/>
          <w:color w:val="44546A" w:themeColor="text2"/>
          <w:sz w:val="24"/>
          <w:szCs w:val="24"/>
        </w:rPr>
      </w:pPr>
    </w:p>
    <w:p w14:paraId="0AFF381F" w14:textId="2F4D6B62" w:rsidR="00E74B7E" w:rsidRPr="000766CC" w:rsidRDefault="000766CC" w:rsidP="000766CC">
      <w:pPr>
        <w:pStyle w:val="ListParagraph"/>
        <w:numPr>
          <w:ilvl w:val="0"/>
          <w:numId w:val="1"/>
        </w:numPr>
        <w:rPr>
          <w:rFonts w:ascii="Open Sans" w:hAnsi="Open Sans" w:cs="Open Sans"/>
          <w:color w:val="44546A" w:themeColor="text2"/>
          <w:sz w:val="24"/>
          <w:szCs w:val="24"/>
        </w:rPr>
      </w:pPr>
      <w:r w:rsidRPr="000766CC">
        <w:rPr>
          <w:rFonts w:ascii="Open Sans" w:hAnsi="Open Sans" w:cs="Open Sans"/>
          <w:color w:val="44546A" w:themeColor="text2"/>
          <w:sz w:val="24"/>
          <w:szCs w:val="24"/>
        </w:rPr>
        <w:t>Review and expansion of community plans continues to be a priority in the region.  This planning process is necessary to ensure a balance between development demands and the protection of community identity and resources for the future.</w:t>
      </w:r>
    </w:p>
    <w:p w14:paraId="59977BF6" w14:textId="31692594" w:rsidR="00E74B7E" w:rsidRPr="000766CC" w:rsidRDefault="00E74B7E" w:rsidP="00E74B7E">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Housing</w:t>
      </w:r>
    </w:p>
    <w:p w14:paraId="0E9B051E" w14:textId="0AB6EB0B" w:rsidR="000766CC" w:rsidRPr="000766CC" w:rsidRDefault="000766CC" w:rsidP="000766CC">
      <w:pPr>
        <w:rPr>
          <w:rFonts w:ascii="Open Sans" w:hAnsi="Open Sans" w:cs="Open Sans"/>
          <w:color w:val="44546A" w:themeColor="text2"/>
          <w:sz w:val="24"/>
          <w:szCs w:val="24"/>
        </w:rPr>
      </w:pPr>
      <w:r w:rsidRPr="000766CC">
        <w:rPr>
          <w:rFonts w:ascii="Open Sans" w:hAnsi="Open Sans" w:cs="Open Sans"/>
          <w:color w:val="44546A" w:themeColor="text2"/>
          <w:sz w:val="24"/>
          <w:szCs w:val="24"/>
        </w:rPr>
        <w:t>With population growth, the region has also seen a significant increase in the development of new housing.  Although this is a positive development in improving the quality and quantity of housing stock, there has been a disproportionate development of single-family housing, and development has not met the needs of lower</w:t>
      </w:r>
      <w:r w:rsidR="00F95504">
        <w:rPr>
          <w:rFonts w:ascii="Open Sans" w:hAnsi="Open Sans" w:cs="Open Sans"/>
          <w:color w:val="44546A" w:themeColor="text2"/>
          <w:sz w:val="24"/>
          <w:szCs w:val="24"/>
        </w:rPr>
        <w:t>-</w:t>
      </w:r>
      <w:r w:rsidRPr="000766CC">
        <w:rPr>
          <w:rFonts w:ascii="Open Sans" w:hAnsi="Open Sans" w:cs="Open Sans"/>
          <w:color w:val="44546A" w:themeColor="text2"/>
          <w:sz w:val="24"/>
          <w:szCs w:val="24"/>
        </w:rPr>
        <w:t>income citizens.</w:t>
      </w:r>
    </w:p>
    <w:p w14:paraId="29D36593" w14:textId="31259491" w:rsidR="00E74B7E" w:rsidRPr="000766CC" w:rsidRDefault="000766CC" w:rsidP="000766CC">
      <w:pPr>
        <w:rPr>
          <w:rFonts w:ascii="Open Sans" w:hAnsi="Open Sans" w:cs="Open Sans"/>
          <w:color w:val="44546A" w:themeColor="text2"/>
          <w:sz w:val="24"/>
          <w:szCs w:val="24"/>
        </w:rPr>
      </w:pPr>
      <w:r w:rsidRPr="000766CC">
        <w:rPr>
          <w:rFonts w:ascii="Open Sans" w:hAnsi="Open Sans" w:cs="Open Sans"/>
          <w:color w:val="44546A" w:themeColor="text2"/>
          <w:sz w:val="24"/>
          <w:szCs w:val="24"/>
        </w:rPr>
        <w:t>The region is working to address housing development needs that can provide a range of alternatives for persons with limited resources.  This includes housing stock that can serve the region’s workforce, low-income families, seniors, as well as for persons with one or more disabilities.</w:t>
      </w:r>
    </w:p>
    <w:p w14:paraId="6769D97E" w14:textId="01E7F777" w:rsidR="00E74B7E" w:rsidRPr="000766CC" w:rsidRDefault="00E74B7E" w:rsidP="00E74B7E">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lastRenderedPageBreak/>
        <w:t>Funding Priority Decision Making Process</w:t>
      </w:r>
    </w:p>
    <w:p w14:paraId="3B0D4E32" w14:textId="36232A28" w:rsidR="00E74B7E" w:rsidRPr="000766CC" w:rsidRDefault="000766CC" w:rsidP="00E74B7E">
      <w:pPr>
        <w:rPr>
          <w:rFonts w:ascii="Open Sans" w:hAnsi="Open Sans" w:cs="Open Sans"/>
          <w:color w:val="44546A" w:themeColor="text2"/>
          <w:sz w:val="24"/>
          <w:szCs w:val="24"/>
        </w:rPr>
      </w:pPr>
      <w:r w:rsidRPr="000766CC">
        <w:rPr>
          <w:rFonts w:ascii="Open Sans" w:hAnsi="Open Sans" w:cs="Open Sans"/>
          <w:color w:val="44546A" w:themeColor="text2"/>
          <w:sz w:val="24"/>
          <w:szCs w:val="24"/>
        </w:rPr>
        <w:t xml:space="preserve">Mountainland Association of Governments reviews all projects utilizing a comprehensive rating and ranking process to determine the priority for funding.  The criterion is developed by the Regional Review Committee, with input from all jurisdictions taken into consideration.  The criteria reflect both regional priorities and state, and federal program requirements.  </w:t>
      </w:r>
    </w:p>
    <w:p w14:paraId="73559190" w14:textId="39754859" w:rsidR="00E74B7E" w:rsidRDefault="00E74B7E" w:rsidP="000766CC">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 xml:space="preserve">Decision Making Process </w:t>
      </w:r>
    </w:p>
    <w:p w14:paraId="63654F84" w14:textId="158828FA" w:rsidR="000766CC" w:rsidRPr="000766CC" w:rsidRDefault="000766CC" w:rsidP="000766CC">
      <w:pPr>
        <w:rPr>
          <w:rFonts w:ascii="Open Sans" w:hAnsi="Open Sans" w:cs="Open Sans"/>
          <w:color w:val="44546A" w:themeColor="text2"/>
          <w:sz w:val="24"/>
          <w:szCs w:val="24"/>
        </w:rPr>
      </w:pPr>
      <w:r w:rsidRPr="000766CC">
        <w:rPr>
          <w:rFonts w:ascii="Open Sans" w:hAnsi="Open Sans" w:cs="Open Sans"/>
          <w:color w:val="44546A" w:themeColor="text2"/>
          <w:sz w:val="24"/>
          <w:szCs w:val="24"/>
        </w:rPr>
        <w:t>Regional priorities are established by the Mountainland AOG Regional Review Committee that includes representation from Summit and Wasatch County and approve scoring criteria for the region’s applications.</w:t>
      </w:r>
    </w:p>
    <w:p w14:paraId="1DA0F576" w14:textId="756ADB16" w:rsidR="00E74B7E" w:rsidRDefault="00E74B7E" w:rsidP="000766CC">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CDBG Regional Priorities</w:t>
      </w:r>
    </w:p>
    <w:p w14:paraId="1F63DD72" w14:textId="11EF458A" w:rsidR="000766CC" w:rsidRPr="000766CC" w:rsidRDefault="000766CC" w:rsidP="000766CC">
      <w:pPr>
        <w:rPr>
          <w:rFonts w:ascii="Open Sans" w:hAnsi="Open Sans" w:cs="Open Sans"/>
          <w:color w:val="44546A" w:themeColor="text2"/>
          <w:sz w:val="24"/>
          <w:szCs w:val="24"/>
        </w:rPr>
      </w:pPr>
      <w:r>
        <w:rPr>
          <w:rFonts w:ascii="Open Sans" w:hAnsi="Open Sans" w:cs="Open Sans"/>
          <w:color w:val="44546A" w:themeColor="text2"/>
          <w:sz w:val="24"/>
          <w:szCs w:val="24"/>
        </w:rPr>
        <w:t>Include: Community and Economic Development, Housing, and other projects that benefit low-and moderate-income persons or households.</w:t>
      </w:r>
    </w:p>
    <w:p w14:paraId="7834DD00" w14:textId="01FF5DC0" w:rsidR="00E74B7E" w:rsidRPr="000766CC" w:rsidRDefault="00E74B7E" w:rsidP="000766CC">
      <w:pPr>
        <w:rPr>
          <w:rFonts w:ascii="Open Sans SemiBold" w:hAnsi="Open Sans SemiBold" w:cs="Open Sans SemiBold"/>
          <w:color w:val="44546A" w:themeColor="text2"/>
          <w:sz w:val="28"/>
          <w:szCs w:val="28"/>
        </w:rPr>
      </w:pPr>
      <w:r w:rsidRPr="000766CC">
        <w:rPr>
          <w:rFonts w:ascii="Open Sans SemiBold" w:hAnsi="Open Sans SemiBold" w:cs="Open Sans SemiBold"/>
          <w:color w:val="44546A" w:themeColor="text2"/>
          <w:sz w:val="28"/>
          <w:szCs w:val="28"/>
        </w:rPr>
        <w:t>CDBG-CV Priorities</w:t>
      </w:r>
    </w:p>
    <w:p w14:paraId="3CBC4E84" w14:textId="20D50BED" w:rsidR="00E74B7E" w:rsidRPr="000766CC" w:rsidRDefault="000766CC" w:rsidP="000766CC">
      <w:pPr>
        <w:rPr>
          <w:rFonts w:ascii="Open Sans" w:hAnsi="Open Sans" w:cs="Open Sans"/>
          <w:color w:val="44546A" w:themeColor="text2"/>
          <w:sz w:val="24"/>
          <w:szCs w:val="24"/>
        </w:rPr>
      </w:pPr>
      <w:r>
        <w:rPr>
          <w:rFonts w:ascii="Open Sans" w:hAnsi="Open Sans" w:cs="Open Sans"/>
          <w:color w:val="44546A" w:themeColor="text2"/>
          <w:sz w:val="24"/>
          <w:szCs w:val="24"/>
        </w:rPr>
        <w:t>CDBG-CV funds will be used to help Summit and Wasatch citizens, communities, and businesses to prevent, prepare for and respond to the spread of COVID-19.</w:t>
      </w:r>
    </w:p>
    <w:p w14:paraId="321A6CDB" w14:textId="1F1CE78A" w:rsidR="00E74B7E" w:rsidRPr="00591233" w:rsidRDefault="00E74B7E" w:rsidP="00E74B7E">
      <w:pPr>
        <w:rPr>
          <w:rFonts w:ascii="Open Sans SemiBold" w:hAnsi="Open Sans SemiBold" w:cs="Open Sans SemiBold"/>
          <w:color w:val="44546A" w:themeColor="text2"/>
          <w:sz w:val="28"/>
          <w:szCs w:val="28"/>
        </w:rPr>
      </w:pPr>
      <w:r w:rsidRPr="00591233">
        <w:rPr>
          <w:rFonts w:ascii="Open Sans SemiBold" w:hAnsi="Open Sans SemiBold" w:cs="Open Sans SemiBold"/>
          <w:color w:val="44546A" w:themeColor="text2"/>
          <w:sz w:val="28"/>
          <w:szCs w:val="28"/>
        </w:rPr>
        <w:t>Evaluation of Past Performance</w:t>
      </w:r>
    </w:p>
    <w:p w14:paraId="32EB4B7C" w14:textId="2E2C8FDB" w:rsidR="00E74B7E" w:rsidRDefault="000766CC" w:rsidP="00E74B7E">
      <w:pPr>
        <w:rPr>
          <w:rFonts w:ascii="Open Sans" w:hAnsi="Open Sans" w:cs="Open Sans"/>
          <w:color w:val="44546A" w:themeColor="text2"/>
          <w:sz w:val="24"/>
          <w:szCs w:val="24"/>
        </w:rPr>
      </w:pPr>
      <w:r>
        <w:rPr>
          <w:rFonts w:ascii="Open Sans" w:hAnsi="Open Sans" w:cs="Open Sans"/>
          <w:color w:val="44546A" w:themeColor="text2"/>
          <w:sz w:val="24"/>
          <w:szCs w:val="24"/>
        </w:rPr>
        <w:t>The following projects were accomplished in the 2021 funding year:</w:t>
      </w:r>
    </w:p>
    <w:tbl>
      <w:tblPr>
        <w:tblStyle w:val="TableGrid"/>
        <w:tblW w:w="0" w:type="auto"/>
        <w:tblLook w:val="04A0" w:firstRow="1" w:lastRow="0" w:firstColumn="1" w:lastColumn="0" w:noHBand="0" w:noVBand="1"/>
      </w:tblPr>
      <w:tblGrid>
        <w:gridCol w:w="3116"/>
        <w:gridCol w:w="3117"/>
        <w:gridCol w:w="3117"/>
      </w:tblGrid>
      <w:tr w:rsidR="00CB2740" w14:paraId="2E200E25" w14:textId="77777777" w:rsidTr="00A328CC">
        <w:tc>
          <w:tcPr>
            <w:tcW w:w="9350" w:type="dxa"/>
            <w:gridSpan w:val="3"/>
          </w:tcPr>
          <w:p w14:paraId="3165EC1E" w14:textId="7461426F" w:rsidR="00CB2740" w:rsidRDefault="00CB2740" w:rsidP="00CB2740">
            <w:pPr>
              <w:jc w:val="center"/>
              <w:rPr>
                <w:rFonts w:ascii="Open Sans" w:hAnsi="Open Sans" w:cs="Open Sans"/>
                <w:color w:val="44546A" w:themeColor="text2"/>
                <w:sz w:val="24"/>
                <w:szCs w:val="24"/>
              </w:rPr>
            </w:pPr>
            <w:r>
              <w:rPr>
                <w:rFonts w:ascii="Open Sans" w:hAnsi="Open Sans" w:cs="Open Sans"/>
                <w:color w:val="44546A" w:themeColor="text2"/>
                <w:sz w:val="24"/>
                <w:szCs w:val="24"/>
              </w:rPr>
              <w:t>CDBG Annual Allocation</w:t>
            </w:r>
          </w:p>
        </w:tc>
      </w:tr>
      <w:tr w:rsidR="00CB2740" w14:paraId="17B33F88" w14:textId="77777777" w:rsidTr="00CB2740">
        <w:tc>
          <w:tcPr>
            <w:tcW w:w="3116" w:type="dxa"/>
          </w:tcPr>
          <w:p w14:paraId="1ECB73B7" w14:textId="2026C18D"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Applicant</w:t>
            </w:r>
          </w:p>
        </w:tc>
        <w:tc>
          <w:tcPr>
            <w:tcW w:w="3117" w:type="dxa"/>
          </w:tcPr>
          <w:p w14:paraId="7E22F7E3" w14:textId="702237CB"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Project</w:t>
            </w:r>
          </w:p>
        </w:tc>
        <w:tc>
          <w:tcPr>
            <w:tcW w:w="3117" w:type="dxa"/>
          </w:tcPr>
          <w:p w14:paraId="1E8CB973" w14:textId="5E8E8141"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Award</w:t>
            </w:r>
          </w:p>
        </w:tc>
      </w:tr>
      <w:tr w:rsidR="00CB2740" w14:paraId="579C15D2" w14:textId="77777777" w:rsidTr="00CB2740">
        <w:tc>
          <w:tcPr>
            <w:tcW w:w="3116" w:type="dxa"/>
          </w:tcPr>
          <w:p w14:paraId="3A7D4914" w14:textId="62BEC33F"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Summit County</w:t>
            </w:r>
          </w:p>
        </w:tc>
        <w:tc>
          <w:tcPr>
            <w:tcW w:w="3117" w:type="dxa"/>
          </w:tcPr>
          <w:p w14:paraId="7369631F" w14:textId="67C0C987" w:rsidR="00CB2740" w:rsidRDefault="00CB2740" w:rsidP="00E74B7E">
            <w:pPr>
              <w:rPr>
                <w:rFonts w:ascii="Open Sans" w:hAnsi="Open Sans" w:cs="Open Sans"/>
                <w:color w:val="44546A" w:themeColor="text2"/>
                <w:sz w:val="24"/>
                <w:szCs w:val="24"/>
              </w:rPr>
            </w:pPr>
            <w:proofErr w:type="spellStart"/>
            <w:r>
              <w:rPr>
                <w:rFonts w:ascii="Open Sans" w:hAnsi="Open Sans" w:cs="Open Sans"/>
                <w:color w:val="44546A" w:themeColor="text2"/>
                <w:sz w:val="24"/>
                <w:szCs w:val="24"/>
              </w:rPr>
              <w:t>Peoa</w:t>
            </w:r>
            <w:proofErr w:type="spellEnd"/>
            <w:r>
              <w:rPr>
                <w:rFonts w:ascii="Open Sans" w:hAnsi="Open Sans" w:cs="Open Sans"/>
                <w:color w:val="44546A" w:themeColor="text2"/>
                <w:sz w:val="24"/>
                <w:szCs w:val="24"/>
              </w:rPr>
              <w:t>-Pipeline Water Replacement</w:t>
            </w:r>
          </w:p>
        </w:tc>
        <w:tc>
          <w:tcPr>
            <w:tcW w:w="3117" w:type="dxa"/>
          </w:tcPr>
          <w:p w14:paraId="2D0C9AD1" w14:textId="2BA8935D"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$251,013</w:t>
            </w:r>
          </w:p>
        </w:tc>
      </w:tr>
      <w:tr w:rsidR="00CB2740" w14:paraId="43F40AC8" w14:textId="77777777" w:rsidTr="00CB2740">
        <w:tc>
          <w:tcPr>
            <w:tcW w:w="3116" w:type="dxa"/>
          </w:tcPr>
          <w:p w14:paraId="40850454" w14:textId="4030BE27"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 xml:space="preserve">Town of </w:t>
            </w:r>
            <w:proofErr w:type="spellStart"/>
            <w:r>
              <w:rPr>
                <w:rFonts w:ascii="Open Sans" w:hAnsi="Open Sans" w:cs="Open Sans"/>
                <w:color w:val="44546A" w:themeColor="text2"/>
                <w:sz w:val="24"/>
                <w:szCs w:val="24"/>
              </w:rPr>
              <w:t>Wallsburg</w:t>
            </w:r>
            <w:proofErr w:type="spellEnd"/>
          </w:p>
        </w:tc>
        <w:tc>
          <w:tcPr>
            <w:tcW w:w="3117" w:type="dxa"/>
          </w:tcPr>
          <w:p w14:paraId="4A03EE52" w14:textId="4F3AD92F"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Waterline Replacement</w:t>
            </w:r>
          </w:p>
        </w:tc>
        <w:tc>
          <w:tcPr>
            <w:tcW w:w="3117" w:type="dxa"/>
          </w:tcPr>
          <w:p w14:paraId="13DA9788" w14:textId="2D73B6F1" w:rsidR="00CB2740" w:rsidRDefault="00CB2740" w:rsidP="00E74B7E">
            <w:pPr>
              <w:rPr>
                <w:rFonts w:ascii="Open Sans" w:hAnsi="Open Sans" w:cs="Open Sans"/>
                <w:color w:val="44546A" w:themeColor="text2"/>
                <w:sz w:val="24"/>
                <w:szCs w:val="24"/>
              </w:rPr>
            </w:pPr>
            <w:r>
              <w:rPr>
                <w:rFonts w:ascii="Open Sans" w:hAnsi="Open Sans" w:cs="Open Sans"/>
                <w:color w:val="44546A" w:themeColor="text2"/>
                <w:sz w:val="24"/>
                <w:szCs w:val="24"/>
              </w:rPr>
              <w:t>$282,388</w:t>
            </w:r>
          </w:p>
        </w:tc>
      </w:tr>
      <w:tr w:rsidR="00CB2740" w14:paraId="489272E6" w14:textId="77777777" w:rsidTr="00D173FE">
        <w:tc>
          <w:tcPr>
            <w:tcW w:w="3116" w:type="dxa"/>
          </w:tcPr>
          <w:p w14:paraId="3F9CA4CD" w14:textId="4CABF6E3" w:rsidR="00CB2740" w:rsidRDefault="00CB2740" w:rsidP="00D173FE">
            <w:pPr>
              <w:rPr>
                <w:rFonts w:ascii="Open Sans" w:hAnsi="Open Sans" w:cs="Open Sans"/>
                <w:color w:val="44546A" w:themeColor="text2"/>
                <w:sz w:val="24"/>
                <w:szCs w:val="24"/>
              </w:rPr>
            </w:pPr>
            <w:r>
              <w:rPr>
                <w:rFonts w:ascii="Open Sans" w:hAnsi="Open Sans" w:cs="Open Sans"/>
                <w:color w:val="44546A" w:themeColor="text2"/>
                <w:sz w:val="24"/>
                <w:szCs w:val="24"/>
              </w:rPr>
              <w:t>MAG</w:t>
            </w:r>
          </w:p>
        </w:tc>
        <w:tc>
          <w:tcPr>
            <w:tcW w:w="3117" w:type="dxa"/>
          </w:tcPr>
          <w:p w14:paraId="776B17C6" w14:textId="19604EAA" w:rsidR="00CB2740" w:rsidRDefault="00CB2740" w:rsidP="00D173FE">
            <w:pPr>
              <w:rPr>
                <w:rFonts w:ascii="Open Sans" w:hAnsi="Open Sans" w:cs="Open Sans"/>
                <w:color w:val="44546A" w:themeColor="text2"/>
                <w:sz w:val="24"/>
                <w:szCs w:val="24"/>
              </w:rPr>
            </w:pPr>
            <w:r>
              <w:rPr>
                <w:rFonts w:ascii="Open Sans" w:hAnsi="Open Sans" w:cs="Open Sans"/>
                <w:color w:val="44546A" w:themeColor="text2"/>
                <w:sz w:val="24"/>
                <w:szCs w:val="24"/>
              </w:rPr>
              <w:t>Program Administration</w:t>
            </w:r>
          </w:p>
        </w:tc>
        <w:tc>
          <w:tcPr>
            <w:tcW w:w="3117" w:type="dxa"/>
          </w:tcPr>
          <w:p w14:paraId="627BF5D2" w14:textId="487FE68B" w:rsidR="00CB2740" w:rsidRDefault="00CB2740" w:rsidP="00D173FE">
            <w:pPr>
              <w:rPr>
                <w:rFonts w:ascii="Open Sans" w:hAnsi="Open Sans" w:cs="Open Sans"/>
                <w:color w:val="44546A" w:themeColor="text2"/>
                <w:sz w:val="24"/>
                <w:szCs w:val="24"/>
              </w:rPr>
            </w:pPr>
            <w:r>
              <w:rPr>
                <w:rFonts w:ascii="Open Sans" w:hAnsi="Open Sans" w:cs="Open Sans"/>
                <w:color w:val="44546A" w:themeColor="text2"/>
                <w:sz w:val="24"/>
                <w:szCs w:val="24"/>
              </w:rPr>
              <w:t>$50,000</w:t>
            </w:r>
          </w:p>
        </w:tc>
      </w:tr>
      <w:tr w:rsidR="00CB2740" w14:paraId="213BC534" w14:textId="77777777" w:rsidTr="00BF118A">
        <w:tc>
          <w:tcPr>
            <w:tcW w:w="9350" w:type="dxa"/>
            <w:gridSpan w:val="3"/>
          </w:tcPr>
          <w:p w14:paraId="3AAD30F4" w14:textId="62436EA4" w:rsidR="00CB2740" w:rsidRDefault="00CB2740" w:rsidP="00CB2740">
            <w:pPr>
              <w:tabs>
                <w:tab w:val="left" w:pos="6735"/>
              </w:tabs>
              <w:rPr>
                <w:rFonts w:ascii="Open Sans" w:hAnsi="Open Sans" w:cs="Open Sans"/>
                <w:color w:val="44546A" w:themeColor="text2"/>
                <w:sz w:val="24"/>
                <w:szCs w:val="24"/>
              </w:rPr>
            </w:pPr>
            <w:r>
              <w:rPr>
                <w:rFonts w:ascii="Open Sans" w:hAnsi="Open Sans" w:cs="Open Sans"/>
                <w:color w:val="44546A" w:themeColor="text2"/>
                <w:sz w:val="24"/>
                <w:szCs w:val="24"/>
              </w:rPr>
              <w:t xml:space="preserve">                                                                                         Total: $ 583,401</w:t>
            </w:r>
          </w:p>
        </w:tc>
      </w:tr>
    </w:tbl>
    <w:p w14:paraId="7E979F98" w14:textId="7B7E7385" w:rsidR="000766CC" w:rsidRDefault="000766CC" w:rsidP="00E74B7E">
      <w:pPr>
        <w:rPr>
          <w:rFonts w:ascii="Open Sans" w:hAnsi="Open Sans" w:cs="Open Sans"/>
          <w:color w:val="44546A" w:themeColor="text2"/>
          <w:sz w:val="24"/>
          <w:szCs w:val="24"/>
        </w:rPr>
      </w:pPr>
    </w:p>
    <w:p w14:paraId="3D22BE96" w14:textId="78F65156" w:rsidR="00591233" w:rsidRDefault="00591233" w:rsidP="00E74B7E">
      <w:pPr>
        <w:rPr>
          <w:rFonts w:ascii="Open Sans" w:hAnsi="Open Sans" w:cs="Open Sans"/>
          <w:color w:val="44546A" w:themeColor="text2"/>
          <w:sz w:val="24"/>
          <w:szCs w:val="24"/>
        </w:rPr>
      </w:pPr>
    </w:p>
    <w:p w14:paraId="1C9B5013" w14:textId="77777777" w:rsidR="00591233" w:rsidRDefault="00591233" w:rsidP="00E74B7E">
      <w:pPr>
        <w:rPr>
          <w:rFonts w:ascii="Open Sans" w:hAnsi="Open Sans" w:cs="Open Sans"/>
          <w:color w:val="44546A" w:themeColor="text2"/>
          <w:sz w:val="24"/>
          <w:szCs w:val="24"/>
        </w:rPr>
      </w:pPr>
    </w:p>
    <w:tbl>
      <w:tblPr>
        <w:tblStyle w:val="TableGrid"/>
        <w:tblW w:w="0" w:type="auto"/>
        <w:tblLook w:val="04A0" w:firstRow="1" w:lastRow="0" w:firstColumn="1" w:lastColumn="0" w:noHBand="0" w:noVBand="1"/>
      </w:tblPr>
      <w:tblGrid>
        <w:gridCol w:w="3116"/>
        <w:gridCol w:w="3117"/>
        <w:gridCol w:w="3117"/>
      </w:tblGrid>
      <w:tr w:rsidR="00CB2740" w14:paraId="24CFA2C9" w14:textId="77777777" w:rsidTr="004A574C">
        <w:tc>
          <w:tcPr>
            <w:tcW w:w="9350" w:type="dxa"/>
            <w:gridSpan w:val="3"/>
          </w:tcPr>
          <w:p w14:paraId="0915CFC0" w14:textId="2AA89DDA" w:rsidR="00CB2740" w:rsidRDefault="00CB2740" w:rsidP="004A574C">
            <w:pPr>
              <w:jc w:val="center"/>
              <w:rPr>
                <w:rFonts w:ascii="Open Sans" w:hAnsi="Open Sans" w:cs="Open Sans"/>
                <w:color w:val="44546A" w:themeColor="text2"/>
                <w:sz w:val="24"/>
                <w:szCs w:val="24"/>
              </w:rPr>
            </w:pPr>
            <w:r>
              <w:rPr>
                <w:rFonts w:ascii="Open Sans" w:hAnsi="Open Sans" w:cs="Open Sans"/>
                <w:color w:val="44546A" w:themeColor="text2"/>
                <w:sz w:val="24"/>
                <w:szCs w:val="24"/>
              </w:rPr>
              <w:t>CDBG-CV Allocation</w:t>
            </w:r>
          </w:p>
        </w:tc>
      </w:tr>
      <w:tr w:rsidR="00CB2740" w14:paraId="0D413F8F" w14:textId="77777777" w:rsidTr="004A574C">
        <w:tc>
          <w:tcPr>
            <w:tcW w:w="3116" w:type="dxa"/>
          </w:tcPr>
          <w:p w14:paraId="4CA4CF09" w14:textId="77777777"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Applicant</w:t>
            </w:r>
          </w:p>
        </w:tc>
        <w:tc>
          <w:tcPr>
            <w:tcW w:w="3117" w:type="dxa"/>
          </w:tcPr>
          <w:p w14:paraId="69A77A30" w14:textId="77777777"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Project</w:t>
            </w:r>
          </w:p>
        </w:tc>
        <w:tc>
          <w:tcPr>
            <w:tcW w:w="3117" w:type="dxa"/>
          </w:tcPr>
          <w:p w14:paraId="59076F2F" w14:textId="77777777"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Award</w:t>
            </w:r>
          </w:p>
        </w:tc>
      </w:tr>
      <w:tr w:rsidR="00CB2740" w14:paraId="3667EA60" w14:textId="77777777" w:rsidTr="004A574C">
        <w:tc>
          <w:tcPr>
            <w:tcW w:w="3116" w:type="dxa"/>
          </w:tcPr>
          <w:p w14:paraId="1B30107E" w14:textId="650F58EF"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lastRenderedPageBreak/>
              <w:t>MAG</w:t>
            </w:r>
          </w:p>
        </w:tc>
        <w:tc>
          <w:tcPr>
            <w:tcW w:w="3117" w:type="dxa"/>
          </w:tcPr>
          <w:p w14:paraId="1DF56673" w14:textId="64D72786"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Small Business Grants</w:t>
            </w:r>
          </w:p>
        </w:tc>
        <w:tc>
          <w:tcPr>
            <w:tcW w:w="3117" w:type="dxa"/>
          </w:tcPr>
          <w:p w14:paraId="6A6817DA" w14:textId="0E8C6C2E" w:rsidR="00CB2740" w:rsidRDefault="00591233" w:rsidP="004A574C">
            <w:pPr>
              <w:rPr>
                <w:rFonts w:ascii="Open Sans" w:hAnsi="Open Sans" w:cs="Open Sans"/>
                <w:color w:val="44546A" w:themeColor="text2"/>
                <w:sz w:val="24"/>
                <w:szCs w:val="24"/>
              </w:rPr>
            </w:pPr>
            <w:r>
              <w:rPr>
                <w:rFonts w:ascii="Open Sans" w:hAnsi="Open Sans" w:cs="Open Sans"/>
                <w:color w:val="44546A" w:themeColor="text2"/>
                <w:sz w:val="24"/>
                <w:szCs w:val="24"/>
              </w:rPr>
              <w:t>$869,000</w:t>
            </w:r>
          </w:p>
        </w:tc>
      </w:tr>
      <w:tr w:rsidR="00CB2740" w14:paraId="4699EDF8" w14:textId="77777777" w:rsidTr="004A574C">
        <w:tc>
          <w:tcPr>
            <w:tcW w:w="3116" w:type="dxa"/>
          </w:tcPr>
          <w:p w14:paraId="4B973918" w14:textId="54AC809F"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Park City Community Foundation</w:t>
            </w:r>
          </w:p>
        </w:tc>
        <w:tc>
          <w:tcPr>
            <w:tcW w:w="3117" w:type="dxa"/>
          </w:tcPr>
          <w:p w14:paraId="03762DDB" w14:textId="18974D49"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Public Services-Groceries</w:t>
            </w:r>
          </w:p>
        </w:tc>
        <w:tc>
          <w:tcPr>
            <w:tcW w:w="3117" w:type="dxa"/>
          </w:tcPr>
          <w:p w14:paraId="67C9DFC1" w14:textId="53FBD85C" w:rsidR="00CB2740" w:rsidRDefault="00CB2740" w:rsidP="004A574C">
            <w:pPr>
              <w:rPr>
                <w:rFonts w:ascii="Open Sans" w:hAnsi="Open Sans" w:cs="Open Sans"/>
                <w:color w:val="44546A" w:themeColor="text2"/>
                <w:sz w:val="24"/>
                <w:szCs w:val="24"/>
              </w:rPr>
            </w:pPr>
            <w:r>
              <w:rPr>
                <w:rFonts w:ascii="Open Sans" w:hAnsi="Open Sans" w:cs="Open Sans"/>
                <w:color w:val="44546A" w:themeColor="text2"/>
                <w:sz w:val="24"/>
                <w:szCs w:val="24"/>
              </w:rPr>
              <w:t>$30,000</w:t>
            </w:r>
          </w:p>
        </w:tc>
      </w:tr>
      <w:tr w:rsidR="00CB2740" w14:paraId="4C12F2E9" w14:textId="77777777" w:rsidTr="00CB2740">
        <w:tc>
          <w:tcPr>
            <w:tcW w:w="3116" w:type="dxa"/>
          </w:tcPr>
          <w:p w14:paraId="152B754C" w14:textId="69A6361B"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Christian Center of Park City</w:t>
            </w:r>
          </w:p>
        </w:tc>
        <w:tc>
          <w:tcPr>
            <w:tcW w:w="3117" w:type="dxa"/>
          </w:tcPr>
          <w:p w14:paraId="3F3FAEDD" w14:textId="4C353B69"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Services-Food Bank Supplies</w:t>
            </w:r>
          </w:p>
        </w:tc>
        <w:tc>
          <w:tcPr>
            <w:tcW w:w="3117" w:type="dxa"/>
          </w:tcPr>
          <w:p w14:paraId="09242E5A" w14:textId="1497C368"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$12,500</w:t>
            </w:r>
          </w:p>
        </w:tc>
      </w:tr>
      <w:tr w:rsidR="00CB2740" w14:paraId="64A322D1" w14:textId="77777777" w:rsidTr="00CB2740">
        <w:tc>
          <w:tcPr>
            <w:tcW w:w="3116" w:type="dxa"/>
          </w:tcPr>
          <w:p w14:paraId="76244D6A" w14:textId="4A76FD41"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69BAC707" w14:textId="71F85507"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Services-Food Bank Supplies</w:t>
            </w:r>
          </w:p>
        </w:tc>
        <w:tc>
          <w:tcPr>
            <w:tcW w:w="3117" w:type="dxa"/>
          </w:tcPr>
          <w:p w14:paraId="3D724A8F" w14:textId="17398B2D"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$13,420</w:t>
            </w:r>
          </w:p>
        </w:tc>
      </w:tr>
      <w:tr w:rsidR="00CB2740" w14:paraId="5EE1E249" w14:textId="77777777" w:rsidTr="00CB2740">
        <w:tc>
          <w:tcPr>
            <w:tcW w:w="3116" w:type="dxa"/>
          </w:tcPr>
          <w:p w14:paraId="71C2B13D" w14:textId="5EDB7CC2"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551661ED" w14:textId="0E558B9E"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Services-Cleaning Supplies and Social Distance Technology</w:t>
            </w:r>
          </w:p>
        </w:tc>
        <w:tc>
          <w:tcPr>
            <w:tcW w:w="3117" w:type="dxa"/>
          </w:tcPr>
          <w:p w14:paraId="56B7A92C" w14:textId="1537BEBE"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$5,580</w:t>
            </w:r>
          </w:p>
        </w:tc>
      </w:tr>
      <w:tr w:rsidR="00CB2740" w14:paraId="24194630" w14:textId="77777777" w:rsidTr="00CB2740">
        <w:tc>
          <w:tcPr>
            <w:tcW w:w="3116" w:type="dxa"/>
          </w:tcPr>
          <w:p w14:paraId="379F1EE5" w14:textId="5FD70C02"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Wasatch Senior Center</w:t>
            </w:r>
          </w:p>
        </w:tc>
        <w:tc>
          <w:tcPr>
            <w:tcW w:w="3117" w:type="dxa"/>
          </w:tcPr>
          <w:p w14:paraId="6E711260" w14:textId="2FB4FD65"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Senior Services-Increased Labor for Drive-Through Meals</w:t>
            </w:r>
          </w:p>
        </w:tc>
        <w:tc>
          <w:tcPr>
            <w:tcW w:w="3117" w:type="dxa"/>
          </w:tcPr>
          <w:p w14:paraId="02DAEF41" w14:textId="2F39CC50" w:rsidR="00CB2740" w:rsidRDefault="00CB2740" w:rsidP="00386303">
            <w:pPr>
              <w:rPr>
                <w:rFonts w:ascii="Open Sans" w:hAnsi="Open Sans" w:cs="Open Sans"/>
                <w:color w:val="44546A" w:themeColor="text2"/>
                <w:sz w:val="24"/>
                <w:szCs w:val="24"/>
              </w:rPr>
            </w:pPr>
            <w:r>
              <w:rPr>
                <w:rFonts w:ascii="Open Sans" w:hAnsi="Open Sans" w:cs="Open Sans"/>
                <w:color w:val="44546A" w:themeColor="text2"/>
                <w:sz w:val="24"/>
                <w:szCs w:val="24"/>
              </w:rPr>
              <w:t>$23,500</w:t>
            </w:r>
          </w:p>
        </w:tc>
      </w:tr>
      <w:tr w:rsidR="00CB2740" w14:paraId="1CE76157" w14:textId="77777777" w:rsidTr="00CB2740">
        <w:tc>
          <w:tcPr>
            <w:tcW w:w="3116" w:type="dxa"/>
          </w:tcPr>
          <w:p w14:paraId="7C961A2E" w14:textId="168EB0A4" w:rsidR="00CB2740"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Christian Center of Park City</w:t>
            </w:r>
          </w:p>
        </w:tc>
        <w:tc>
          <w:tcPr>
            <w:tcW w:w="3117" w:type="dxa"/>
          </w:tcPr>
          <w:p w14:paraId="257744B6" w14:textId="0F9AA2A6" w:rsidR="00CB2740"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Services-School Supplies for Children</w:t>
            </w:r>
          </w:p>
        </w:tc>
        <w:tc>
          <w:tcPr>
            <w:tcW w:w="3117" w:type="dxa"/>
          </w:tcPr>
          <w:p w14:paraId="6B93B72E" w14:textId="213CEC5C" w:rsidR="00CB2740"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$100,000</w:t>
            </w:r>
          </w:p>
        </w:tc>
      </w:tr>
      <w:tr w:rsidR="00591233" w14:paraId="210B3583" w14:textId="77777777" w:rsidTr="00CB2740">
        <w:tc>
          <w:tcPr>
            <w:tcW w:w="3116" w:type="dxa"/>
          </w:tcPr>
          <w:p w14:paraId="46337CE7" w14:textId="6FCB45F8"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404B8C73" w14:textId="3D56CB47"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Services-Food Bank Support Van</w:t>
            </w:r>
          </w:p>
        </w:tc>
        <w:tc>
          <w:tcPr>
            <w:tcW w:w="3117" w:type="dxa"/>
          </w:tcPr>
          <w:p w14:paraId="2D57EC26" w14:textId="40362680"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$35,000</w:t>
            </w:r>
          </w:p>
        </w:tc>
      </w:tr>
      <w:tr w:rsidR="00591233" w14:paraId="032798BD" w14:textId="77777777" w:rsidTr="00CB2740">
        <w:tc>
          <w:tcPr>
            <w:tcW w:w="3116" w:type="dxa"/>
          </w:tcPr>
          <w:p w14:paraId="464129BA" w14:textId="66341AC3"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4CEA98A4" w14:textId="223986E5"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Services-Food Bank Mobile Pantry Truck</w:t>
            </w:r>
          </w:p>
        </w:tc>
        <w:tc>
          <w:tcPr>
            <w:tcW w:w="3117" w:type="dxa"/>
          </w:tcPr>
          <w:p w14:paraId="5EEE9DC6" w14:textId="42AFF62C"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$50,000</w:t>
            </w:r>
          </w:p>
        </w:tc>
      </w:tr>
      <w:tr w:rsidR="00591233" w14:paraId="12EF187D" w14:textId="77777777" w:rsidTr="00CB2740">
        <w:tc>
          <w:tcPr>
            <w:tcW w:w="3116" w:type="dxa"/>
          </w:tcPr>
          <w:p w14:paraId="5DB2D2D9" w14:textId="238EAB88"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304FADC4" w14:textId="1A213FB6"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Services-Child Care Nutrition Packs</w:t>
            </w:r>
          </w:p>
        </w:tc>
        <w:tc>
          <w:tcPr>
            <w:tcW w:w="3117" w:type="dxa"/>
          </w:tcPr>
          <w:p w14:paraId="7BCA175C" w14:textId="7538752F"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$12,000</w:t>
            </w:r>
          </w:p>
        </w:tc>
      </w:tr>
      <w:tr w:rsidR="00591233" w14:paraId="00D9E93B" w14:textId="77777777" w:rsidTr="00CB2740">
        <w:tc>
          <w:tcPr>
            <w:tcW w:w="3116" w:type="dxa"/>
          </w:tcPr>
          <w:p w14:paraId="077E2A28" w14:textId="5208993E"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w:t>
            </w:r>
          </w:p>
        </w:tc>
        <w:tc>
          <w:tcPr>
            <w:tcW w:w="3117" w:type="dxa"/>
          </w:tcPr>
          <w:p w14:paraId="0E23F8F5" w14:textId="65D3F712"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Services-Hygiene Kits for Students</w:t>
            </w:r>
          </w:p>
        </w:tc>
        <w:tc>
          <w:tcPr>
            <w:tcW w:w="3117" w:type="dxa"/>
          </w:tcPr>
          <w:p w14:paraId="151279DE" w14:textId="7F5E64E2"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$10,000</w:t>
            </w:r>
          </w:p>
        </w:tc>
      </w:tr>
      <w:tr w:rsidR="00591233" w14:paraId="65CDD581" w14:textId="77777777" w:rsidTr="00CB2740">
        <w:tc>
          <w:tcPr>
            <w:tcW w:w="3116" w:type="dxa"/>
          </w:tcPr>
          <w:p w14:paraId="47016B17" w14:textId="36C8277C"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Community Action Services and Food Bank</w:t>
            </w:r>
          </w:p>
        </w:tc>
        <w:tc>
          <w:tcPr>
            <w:tcW w:w="3117" w:type="dxa"/>
          </w:tcPr>
          <w:p w14:paraId="1C762833" w14:textId="7AEDDBFC"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Services-Food Bank Packaging Supplies</w:t>
            </w:r>
          </w:p>
        </w:tc>
        <w:tc>
          <w:tcPr>
            <w:tcW w:w="3117" w:type="dxa"/>
          </w:tcPr>
          <w:p w14:paraId="7BF0F401" w14:textId="45F3F97B"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$2,000</w:t>
            </w:r>
          </w:p>
        </w:tc>
      </w:tr>
      <w:tr w:rsidR="00591233" w14:paraId="11EED678" w14:textId="77777777" w:rsidTr="00CB2740">
        <w:tc>
          <w:tcPr>
            <w:tcW w:w="3116" w:type="dxa"/>
          </w:tcPr>
          <w:p w14:paraId="1A6A5A07" w14:textId="149D7299"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Wasatch County Health Department</w:t>
            </w:r>
          </w:p>
        </w:tc>
        <w:tc>
          <w:tcPr>
            <w:tcW w:w="3117" w:type="dxa"/>
          </w:tcPr>
          <w:p w14:paraId="7D0C912F" w14:textId="07195BF9"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Public Services-Health Services Mobile Clinic</w:t>
            </w:r>
          </w:p>
        </w:tc>
        <w:tc>
          <w:tcPr>
            <w:tcW w:w="3117" w:type="dxa"/>
          </w:tcPr>
          <w:p w14:paraId="662AC5B0" w14:textId="7FCFD7CC"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$47,500</w:t>
            </w:r>
          </w:p>
        </w:tc>
      </w:tr>
      <w:tr w:rsidR="00591233" w14:paraId="779BBC91" w14:textId="77777777" w:rsidTr="00CB2740">
        <w:tc>
          <w:tcPr>
            <w:tcW w:w="3116" w:type="dxa"/>
          </w:tcPr>
          <w:p w14:paraId="1949642D" w14:textId="197DBE47"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Henefer-2020 Project</w:t>
            </w:r>
          </w:p>
        </w:tc>
        <w:tc>
          <w:tcPr>
            <w:tcW w:w="3117" w:type="dxa"/>
          </w:tcPr>
          <w:p w14:paraId="2F94DE7A" w14:textId="1E27F0ED"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Additional Construction Funds due to Increased Costs</w:t>
            </w:r>
          </w:p>
        </w:tc>
        <w:tc>
          <w:tcPr>
            <w:tcW w:w="3117" w:type="dxa"/>
          </w:tcPr>
          <w:p w14:paraId="7D27B6C6" w14:textId="2DDD3AF1" w:rsidR="00591233" w:rsidRDefault="00591233" w:rsidP="00386303">
            <w:pPr>
              <w:rPr>
                <w:rFonts w:ascii="Open Sans" w:hAnsi="Open Sans" w:cs="Open Sans"/>
                <w:color w:val="44546A" w:themeColor="text2"/>
                <w:sz w:val="24"/>
                <w:szCs w:val="24"/>
              </w:rPr>
            </w:pPr>
            <w:r>
              <w:rPr>
                <w:rFonts w:ascii="Open Sans" w:hAnsi="Open Sans" w:cs="Open Sans"/>
                <w:color w:val="44546A" w:themeColor="text2"/>
                <w:sz w:val="24"/>
                <w:szCs w:val="24"/>
              </w:rPr>
              <w:t>$46,750</w:t>
            </w:r>
          </w:p>
        </w:tc>
      </w:tr>
      <w:tr w:rsidR="00591233" w14:paraId="7AF01E54" w14:textId="77777777" w:rsidTr="00CB2740">
        <w:tc>
          <w:tcPr>
            <w:tcW w:w="3116" w:type="dxa"/>
          </w:tcPr>
          <w:p w14:paraId="42645FC5" w14:textId="6453DF41"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Summit County Echo 2020 Project</w:t>
            </w:r>
          </w:p>
        </w:tc>
        <w:tc>
          <w:tcPr>
            <w:tcW w:w="3117" w:type="dxa"/>
          </w:tcPr>
          <w:p w14:paraId="1FBAE807" w14:textId="51FEA5BF"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Additional Construction Funds due to Increased Costs</w:t>
            </w:r>
          </w:p>
        </w:tc>
        <w:tc>
          <w:tcPr>
            <w:tcW w:w="3117" w:type="dxa"/>
          </w:tcPr>
          <w:p w14:paraId="606417C1" w14:textId="76449456"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$46,750</w:t>
            </w:r>
          </w:p>
        </w:tc>
      </w:tr>
      <w:tr w:rsidR="00591233" w14:paraId="4350CE89" w14:textId="77777777" w:rsidTr="00CB2740">
        <w:tc>
          <w:tcPr>
            <w:tcW w:w="3116" w:type="dxa"/>
          </w:tcPr>
          <w:p w14:paraId="3CB4C932" w14:textId="7639B8C0"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MAG</w:t>
            </w:r>
          </w:p>
        </w:tc>
        <w:tc>
          <w:tcPr>
            <w:tcW w:w="3117" w:type="dxa"/>
          </w:tcPr>
          <w:p w14:paraId="7E97676A" w14:textId="3B4A4B36"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Program Administration</w:t>
            </w:r>
          </w:p>
        </w:tc>
        <w:tc>
          <w:tcPr>
            <w:tcW w:w="3117" w:type="dxa"/>
          </w:tcPr>
          <w:p w14:paraId="11674F10" w14:textId="735D2CE1" w:rsidR="00591233" w:rsidRDefault="00591233" w:rsidP="00591233">
            <w:pPr>
              <w:rPr>
                <w:rFonts w:ascii="Open Sans" w:hAnsi="Open Sans" w:cs="Open Sans"/>
                <w:color w:val="44546A" w:themeColor="text2"/>
                <w:sz w:val="24"/>
                <w:szCs w:val="24"/>
              </w:rPr>
            </w:pPr>
            <w:r>
              <w:rPr>
                <w:rFonts w:ascii="Open Sans" w:hAnsi="Open Sans" w:cs="Open Sans"/>
                <w:color w:val="44546A" w:themeColor="text2"/>
                <w:sz w:val="24"/>
                <w:szCs w:val="24"/>
              </w:rPr>
              <w:t>$56,644</w:t>
            </w:r>
          </w:p>
        </w:tc>
      </w:tr>
    </w:tbl>
    <w:p w14:paraId="2E150716" w14:textId="77777777" w:rsidR="00CB2740" w:rsidRPr="000766CC" w:rsidRDefault="00CB2740" w:rsidP="00E74B7E">
      <w:pPr>
        <w:rPr>
          <w:rFonts w:ascii="Open Sans" w:hAnsi="Open Sans" w:cs="Open Sans"/>
          <w:color w:val="44546A" w:themeColor="text2"/>
          <w:sz w:val="24"/>
          <w:szCs w:val="24"/>
        </w:rPr>
      </w:pPr>
    </w:p>
    <w:p w14:paraId="45E19E30" w14:textId="77777777" w:rsidR="00591233" w:rsidRDefault="00591233">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br w:type="page"/>
      </w:r>
    </w:p>
    <w:p w14:paraId="4666AB00" w14:textId="301F8FEF" w:rsidR="00E74B7E" w:rsidRPr="00591233" w:rsidRDefault="00E74B7E" w:rsidP="00E74B7E">
      <w:pPr>
        <w:rPr>
          <w:rFonts w:ascii="Open Sans SemiBold" w:hAnsi="Open Sans SemiBold" w:cs="Open Sans SemiBold"/>
          <w:color w:val="44546A" w:themeColor="text2"/>
          <w:sz w:val="28"/>
          <w:szCs w:val="28"/>
        </w:rPr>
      </w:pPr>
      <w:r w:rsidRPr="00591233">
        <w:rPr>
          <w:rFonts w:ascii="Open Sans SemiBold" w:hAnsi="Open Sans SemiBold" w:cs="Open Sans SemiBold"/>
          <w:color w:val="44546A" w:themeColor="text2"/>
          <w:sz w:val="28"/>
          <w:szCs w:val="28"/>
        </w:rPr>
        <w:lastRenderedPageBreak/>
        <w:t>Summary of Citizen Participation</w:t>
      </w:r>
    </w:p>
    <w:p w14:paraId="5FC7D179" w14:textId="2E142098" w:rsidR="00E74B7E" w:rsidRDefault="00591233" w:rsidP="00E74B7E">
      <w:pPr>
        <w:rPr>
          <w:rFonts w:ascii="Open Sans" w:hAnsi="Open Sans" w:cs="Open Sans"/>
          <w:color w:val="44546A" w:themeColor="text2"/>
          <w:sz w:val="24"/>
          <w:szCs w:val="24"/>
        </w:rPr>
      </w:pPr>
      <w:r w:rsidRPr="00591233">
        <w:rPr>
          <w:rFonts w:ascii="Open Sans" w:hAnsi="Open Sans" w:cs="Open Sans"/>
          <w:color w:val="44546A" w:themeColor="text2"/>
          <w:sz w:val="24"/>
          <w:szCs w:val="24"/>
        </w:rPr>
        <w:t xml:space="preserve">In completing this update to the Consolidated Plan, MAG has conducted extensive public outreach to solicit and coordinate input into the plan.  MAG has also coordinated with jurisdictions, elected officials and various agencies that have an interest in the plan.  </w:t>
      </w:r>
    </w:p>
    <w:p w14:paraId="55334554" w14:textId="2AF786C0" w:rsidR="00591233" w:rsidRDefault="00591233">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74F9486B" w14:textId="219040FC" w:rsidR="00591233" w:rsidRDefault="00591233" w:rsidP="00F005CA">
      <w:pPr>
        <w:pStyle w:val="Heading1"/>
        <w:rPr>
          <w:rFonts w:ascii="Open Sans ExtraBold" w:hAnsi="Open Sans ExtraBold" w:cs="Open Sans ExtraBold"/>
          <w:color w:val="44546A" w:themeColor="text2"/>
          <w:sz w:val="28"/>
          <w:szCs w:val="28"/>
        </w:rPr>
      </w:pPr>
      <w:bookmarkStart w:id="2" w:name="_Toc85453902"/>
      <w:r>
        <w:rPr>
          <w:rFonts w:ascii="Open Sans ExtraBold" w:hAnsi="Open Sans ExtraBold" w:cs="Open Sans ExtraBold"/>
          <w:color w:val="44546A" w:themeColor="text2"/>
          <w:sz w:val="28"/>
          <w:szCs w:val="28"/>
        </w:rPr>
        <w:lastRenderedPageBreak/>
        <w:t>OUTREACH</w:t>
      </w:r>
      <w:bookmarkEnd w:id="2"/>
    </w:p>
    <w:p w14:paraId="3619D119" w14:textId="158F1088" w:rsidR="00591233" w:rsidRDefault="00591233" w:rsidP="00F005CA">
      <w:pPr>
        <w:pStyle w:val="Heading2"/>
        <w:rPr>
          <w:rFonts w:ascii="Open Sans SemiBold" w:hAnsi="Open Sans SemiBold" w:cs="Open Sans SemiBold"/>
          <w:color w:val="44546A" w:themeColor="text2"/>
          <w:sz w:val="28"/>
          <w:szCs w:val="28"/>
        </w:rPr>
      </w:pPr>
      <w:bookmarkStart w:id="3" w:name="_Toc85453903"/>
      <w:r>
        <w:rPr>
          <w:rFonts w:ascii="Open Sans SemiBold" w:hAnsi="Open Sans SemiBold" w:cs="Open Sans SemiBold"/>
          <w:color w:val="44546A" w:themeColor="text2"/>
          <w:sz w:val="28"/>
          <w:szCs w:val="28"/>
        </w:rPr>
        <w:t>Consultation</w:t>
      </w:r>
      <w:bookmarkEnd w:id="3"/>
    </w:p>
    <w:p w14:paraId="32065345" w14:textId="0E704550" w:rsidR="00591233" w:rsidRPr="00591233" w:rsidRDefault="00591233" w:rsidP="00591233">
      <w:pPr>
        <w:rPr>
          <w:rFonts w:ascii="Open Sans" w:hAnsi="Open Sans" w:cs="Open Sans"/>
          <w:color w:val="44546A" w:themeColor="text2"/>
          <w:sz w:val="24"/>
          <w:szCs w:val="24"/>
        </w:rPr>
      </w:pPr>
      <w:r w:rsidRPr="00591233">
        <w:rPr>
          <w:rFonts w:ascii="Open Sans" w:hAnsi="Open Sans" w:cs="Open Sans"/>
          <w:color w:val="44546A" w:themeColor="text2"/>
          <w:sz w:val="24"/>
          <w:szCs w:val="24"/>
        </w:rPr>
        <w:t>The Mountainland Consolidated Plan is completed with the input of the Mountainland Continuum of Care.  The Continuum includes representatives from the following agencies:</w:t>
      </w:r>
    </w:p>
    <w:p w14:paraId="37B54639" w14:textId="35A5922A"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American Express</w:t>
      </w:r>
    </w:p>
    <w:p w14:paraId="4053CF79" w14:textId="104A1AE8"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American Red Cross</w:t>
      </w:r>
    </w:p>
    <w:p w14:paraId="6A4B3BD5" w14:textId="6DB19ACA"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Bank of American Fork</w:t>
      </w:r>
    </w:p>
    <w:p w14:paraId="63434347" w14:textId="0B9C22E6"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 xml:space="preserve">Center for Women and Children in Crisis </w:t>
      </w:r>
    </w:p>
    <w:p w14:paraId="2678E006" w14:textId="3ECFD839"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Central Utah Center for Independent Living</w:t>
      </w:r>
    </w:p>
    <w:p w14:paraId="063708DF" w14:textId="082312A9"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Children’s Justice Center</w:t>
      </w:r>
    </w:p>
    <w:p w14:paraId="085BF974" w14:textId="50E9A160"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Community Action Services</w:t>
      </w:r>
    </w:p>
    <w:p w14:paraId="4B7D9196" w14:textId="22442784"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Department of Workforce Services</w:t>
      </w:r>
    </w:p>
    <w:p w14:paraId="5C3380C2" w14:textId="02D4D874"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Division of Housing and Community</w:t>
      </w:r>
      <w:r>
        <w:rPr>
          <w:rFonts w:ascii="Open Sans" w:hAnsi="Open Sans" w:cs="Open Sans"/>
          <w:color w:val="44546A" w:themeColor="text2"/>
          <w:sz w:val="24"/>
          <w:szCs w:val="24"/>
        </w:rPr>
        <w:t xml:space="preserve"> </w:t>
      </w:r>
      <w:r w:rsidRPr="00591233">
        <w:rPr>
          <w:rFonts w:ascii="Open Sans" w:hAnsi="Open Sans" w:cs="Open Sans"/>
          <w:color w:val="44546A" w:themeColor="text2"/>
          <w:sz w:val="24"/>
          <w:szCs w:val="24"/>
        </w:rPr>
        <w:t>Development</w:t>
      </w:r>
    </w:p>
    <w:p w14:paraId="3EDF838B" w14:textId="6E27F634"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Food &amp; Care Coalition of Utah Valley</w:t>
      </w:r>
    </w:p>
    <w:p w14:paraId="1FC64902" w14:textId="0D8AE8D1"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Habitat for Humanity</w:t>
      </w:r>
    </w:p>
    <w:p w14:paraId="14EB9F94" w14:textId="4B7ACB38"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Housing and Urban Development</w:t>
      </w:r>
    </w:p>
    <w:p w14:paraId="2E55C00B" w14:textId="772E3DED"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Housing Authority of Utah County</w:t>
      </w:r>
    </w:p>
    <w:p w14:paraId="2AB52038" w14:textId="69174FC0"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Intermountain Health Care (IHC)</w:t>
      </w:r>
    </w:p>
    <w:p w14:paraId="01A1BCFE" w14:textId="516AD1CB"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LDS Church Bishops Storehouse</w:t>
      </w:r>
    </w:p>
    <w:p w14:paraId="34DC1C0A" w14:textId="1EAED162"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Mountainland Community Housing Trust</w:t>
      </w:r>
    </w:p>
    <w:p w14:paraId="7B2C7536" w14:textId="1B580009"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Mountainland Head Start</w:t>
      </w:r>
    </w:p>
    <w:p w14:paraId="73998C31" w14:textId="767F9D68"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Neighborhood Housing Services</w:t>
      </w:r>
    </w:p>
    <w:p w14:paraId="64A427DD" w14:textId="16BF9C05"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Peace House (Park City)</w:t>
      </w:r>
    </w:p>
    <w:p w14:paraId="089A3111" w14:textId="2406794B"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Rural Housing Development</w:t>
      </w:r>
    </w:p>
    <w:p w14:paraId="1E58FC3F" w14:textId="58889482"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Social Security Administration</w:t>
      </w:r>
    </w:p>
    <w:p w14:paraId="56D1B0A9" w14:textId="06261BC6"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United Way of Utah County</w:t>
      </w:r>
    </w:p>
    <w:p w14:paraId="457330F1" w14:textId="60C262F1"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Utah Alcoholism Foundation/House of Hope</w:t>
      </w:r>
    </w:p>
    <w:p w14:paraId="6F295674" w14:textId="595A7D11"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Veterans Center</w:t>
      </w:r>
    </w:p>
    <w:p w14:paraId="6C1E1319" w14:textId="3E7F5033" w:rsidR="00591233" w:rsidRPr="00591233" w:rsidRDefault="00591233" w:rsidP="00591233">
      <w:pPr>
        <w:pStyle w:val="ListParagraph"/>
        <w:numPr>
          <w:ilvl w:val="0"/>
          <w:numId w:val="3"/>
        </w:numPr>
        <w:rPr>
          <w:rFonts w:ascii="Open Sans" w:hAnsi="Open Sans" w:cs="Open Sans"/>
          <w:color w:val="44546A" w:themeColor="text2"/>
          <w:sz w:val="24"/>
          <w:szCs w:val="24"/>
        </w:rPr>
      </w:pPr>
      <w:r w:rsidRPr="00591233">
        <w:rPr>
          <w:rFonts w:ascii="Open Sans" w:hAnsi="Open Sans" w:cs="Open Sans"/>
          <w:color w:val="44546A" w:themeColor="text2"/>
          <w:sz w:val="24"/>
          <w:szCs w:val="24"/>
        </w:rPr>
        <w:t>Wasatch Mental Health</w:t>
      </w:r>
    </w:p>
    <w:p w14:paraId="2C79F0DF" w14:textId="777B351A" w:rsidR="00591233" w:rsidRDefault="00591233" w:rsidP="00591233">
      <w:pPr>
        <w:rPr>
          <w:rFonts w:ascii="Open Sans" w:hAnsi="Open Sans" w:cs="Open Sans"/>
          <w:color w:val="44546A" w:themeColor="text2"/>
          <w:sz w:val="24"/>
          <w:szCs w:val="24"/>
        </w:rPr>
      </w:pPr>
      <w:r w:rsidRPr="00591233">
        <w:rPr>
          <w:rFonts w:ascii="Open Sans" w:hAnsi="Open Sans" w:cs="Open Sans"/>
          <w:color w:val="44546A" w:themeColor="text2"/>
          <w:sz w:val="24"/>
          <w:szCs w:val="24"/>
        </w:rPr>
        <w:t xml:space="preserve">This group of service providers was consulted in the development of the plan and participated in identification of housing and supportive service needs for chronically homeless and homeless individuals. In addition, much of the work of </w:t>
      </w:r>
      <w:r w:rsidRPr="00591233">
        <w:rPr>
          <w:rFonts w:ascii="Open Sans" w:hAnsi="Open Sans" w:cs="Open Sans"/>
          <w:color w:val="44546A" w:themeColor="text2"/>
          <w:sz w:val="24"/>
          <w:szCs w:val="24"/>
        </w:rPr>
        <w:lastRenderedPageBreak/>
        <w:t>the Continuum in identifying needs, services, projects, and goals has been incorporated into this document.</w:t>
      </w:r>
    </w:p>
    <w:p w14:paraId="4CB11796" w14:textId="5E85EAA9" w:rsidR="00CB5A17" w:rsidRDefault="00CF43B1" w:rsidP="00591233">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Elderly Care Facilities and Providers</w:t>
      </w:r>
    </w:p>
    <w:p w14:paraId="5288476F" w14:textId="7E6C8611" w:rsidR="00CF43B1" w:rsidRDefault="00CF43B1" w:rsidP="00591233">
      <w:pPr>
        <w:rPr>
          <w:rFonts w:ascii="Open Sans" w:hAnsi="Open Sans" w:cs="Open Sans"/>
          <w:color w:val="44546A" w:themeColor="text2"/>
          <w:sz w:val="24"/>
          <w:szCs w:val="24"/>
        </w:rPr>
      </w:pPr>
      <w:r w:rsidRPr="00CF43B1">
        <w:rPr>
          <w:rFonts w:ascii="Open Sans" w:hAnsi="Open Sans" w:cs="Open Sans"/>
          <w:color w:val="44546A" w:themeColor="text2"/>
          <w:sz w:val="24"/>
          <w:szCs w:val="24"/>
        </w:rPr>
        <w:t>Mountainland Association of Governments serves as the Area Agency on Aging (AAA) for the three-county area of Summit, Utah, and Wasatch Counties, and as the focal point for services and resources available to serve the elderly.  The AAA works closely with the 14 Senior Centers in the Mountainland region, and contracts with most of the area’s senior service providers (home health agencies, etc.).  Development of this consolidated plan included consultation with these agencies and service providers.  In addition, the AAA Advisory Board participated in development of the plan.  The Advisory Board includes members representing senior centers, various advocacy groups, Foster Grandparents Program, Retired and Senior Volunteer program, the Senior Companion program, the Ombudsman program, minority groups, and members of the business community.</w:t>
      </w:r>
    </w:p>
    <w:p w14:paraId="24604039" w14:textId="64717629" w:rsidR="00CF43B1" w:rsidRDefault="00CF43B1" w:rsidP="00591233">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Jurisdictions</w:t>
      </w:r>
    </w:p>
    <w:p w14:paraId="290D26BF" w14:textId="6AD3B55F" w:rsidR="00CF43B1" w:rsidRPr="00CF43B1" w:rsidRDefault="00CF43B1" w:rsidP="00CF43B1">
      <w:pPr>
        <w:rPr>
          <w:rFonts w:ascii="Open Sans" w:hAnsi="Open Sans" w:cs="Open Sans"/>
          <w:color w:val="44546A" w:themeColor="text2"/>
          <w:sz w:val="24"/>
          <w:szCs w:val="24"/>
        </w:rPr>
      </w:pPr>
      <w:r w:rsidRPr="00CF43B1">
        <w:rPr>
          <w:rFonts w:ascii="Open Sans" w:hAnsi="Open Sans" w:cs="Open Sans"/>
          <w:color w:val="44546A" w:themeColor="text2"/>
          <w:sz w:val="24"/>
          <w:szCs w:val="24"/>
        </w:rPr>
        <w:t>The input of local jurisdictions is a key component in development of the plan.  While the plan is developed to meet state and federal guidelines, the information provided by jurisdictions represents the heart of the plan.  From a local perspective, the document is only relevant to the extent that it provides information useful to local jurisdictions and addresses shared areas of concern.</w:t>
      </w:r>
    </w:p>
    <w:p w14:paraId="6FCEE86B" w14:textId="2663AE49" w:rsidR="00CF43B1" w:rsidRDefault="00CF43B1" w:rsidP="00CF43B1">
      <w:pPr>
        <w:rPr>
          <w:rFonts w:ascii="Open Sans" w:hAnsi="Open Sans" w:cs="Open Sans"/>
          <w:color w:val="44546A" w:themeColor="text2"/>
          <w:sz w:val="24"/>
          <w:szCs w:val="24"/>
        </w:rPr>
      </w:pPr>
      <w:r w:rsidRPr="00CF43B1">
        <w:rPr>
          <w:rFonts w:ascii="Open Sans" w:hAnsi="Open Sans" w:cs="Open Sans"/>
          <w:color w:val="44546A" w:themeColor="text2"/>
          <w:sz w:val="24"/>
          <w:szCs w:val="24"/>
        </w:rPr>
        <w:t>To update the Community Development needs assessment section of the Plan, Mountainland AOG staff meets with planners or managers of each city, as well as to the Mayor or Council Chair.  At these meetings</w:t>
      </w:r>
      <w:r w:rsidR="00F95504">
        <w:rPr>
          <w:rFonts w:ascii="Open Sans" w:hAnsi="Open Sans" w:cs="Open Sans"/>
          <w:color w:val="44546A" w:themeColor="text2"/>
          <w:sz w:val="24"/>
          <w:szCs w:val="24"/>
        </w:rPr>
        <w:t>,</w:t>
      </w:r>
      <w:r w:rsidRPr="00CF43B1">
        <w:rPr>
          <w:rFonts w:ascii="Open Sans" w:hAnsi="Open Sans" w:cs="Open Sans"/>
          <w:color w:val="44546A" w:themeColor="text2"/>
          <w:sz w:val="24"/>
          <w:szCs w:val="24"/>
        </w:rPr>
        <w:t xml:space="preserve"> MAG staff guides the city in a self-assessment exercise and provides a packet of information including materials to update their Capital Improvement Lists. These materials were also e-mailed so that changes could be made electronically.  E-mail was also utilized to send regular reminders.   In addition, each jurisdiction was personally contacted to </w:t>
      </w:r>
      <w:proofErr w:type="gramStart"/>
      <w:r w:rsidRPr="00CF43B1">
        <w:rPr>
          <w:rFonts w:ascii="Open Sans" w:hAnsi="Open Sans" w:cs="Open Sans"/>
          <w:color w:val="44546A" w:themeColor="text2"/>
          <w:sz w:val="24"/>
          <w:szCs w:val="24"/>
        </w:rPr>
        <w:t>offer assistance</w:t>
      </w:r>
      <w:proofErr w:type="gramEnd"/>
      <w:r w:rsidRPr="00CF43B1">
        <w:rPr>
          <w:rFonts w:ascii="Open Sans" w:hAnsi="Open Sans" w:cs="Open Sans"/>
          <w:color w:val="44546A" w:themeColor="text2"/>
          <w:sz w:val="24"/>
          <w:szCs w:val="24"/>
        </w:rPr>
        <w:t xml:space="preserve"> in completing the update process and to gather specific information.  MAG Staff </w:t>
      </w:r>
      <w:proofErr w:type="gramStart"/>
      <w:r w:rsidRPr="00CF43B1">
        <w:rPr>
          <w:rFonts w:ascii="Open Sans" w:hAnsi="Open Sans" w:cs="Open Sans"/>
          <w:color w:val="44546A" w:themeColor="text2"/>
          <w:sz w:val="24"/>
          <w:szCs w:val="24"/>
        </w:rPr>
        <w:t>provides assistance to</w:t>
      </w:r>
      <w:proofErr w:type="gramEnd"/>
      <w:r w:rsidRPr="00CF43B1">
        <w:rPr>
          <w:rFonts w:ascii="Open Sans" w:hAnsi="Open Sans" w:cs="Open Sans"/>
          <w:color w:val="44546A" w:themeColor="text2"/>
          <w:sz w:val="24"/>
          <w:szCs w:val="24"/>
        </w:rPr>
        <w:t xml:space="preserve"> jurisdictions as requested.</w:t>
      </w:r>
    </w:p>
    <w:p w14:paraId="32F253B7" w14:textId="581DFB5F" w:rsidR="00CF43B1" w:rsidRDefault="00CF43B1" w:rsidP="00CF43B1">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Regional Review Committee</w:t>
      </w:r>
    </w:p>
    <w:p w14:paraId="11415889" w14:textId="35242E4E" w:rsidR="00CF43B1" w:rsidRDefault="00CF43B1" w:rsidP="00CF43B1">
      <w:pPr>
        <w:rPr>
          <w:rFonts w:ascii="Open Sans" w:hAnsi="Open Sans" w:cs="Open Sans"/>
          <w:color w:val="44546A" w:themeColor="text2"/>
          <w:sz w:val="24"/>
          <w:szCs w:val="24"/>
        </w:rPr>
      </w:pPr>
      <w:r w:rsidRPr="00CF43B1">
        <w:rPr>
          <w:rFonts w:ascii="Open Sans" w:hAnsi="Open Sans" w:cs="Open Sans"/>
          <w:color w:val="44546A" w:themeColor="text2"/>
          <w:sz w:val="24"/>
          <w:szCs w:val="24"/>
        </w:rPr>
        <w:t xml:space="preserve">The RRC is an appointed group of four elected officials from Summit and Wasatch Counties.  This Committee is the local advisory board to the CDBG program.  Their responsibility is to provide oversight to the rating and ranking process of CDBG </w:t>
      </w:r>
      <w:r w:rsidRPr="00CF43B1">
        <w:rPr>
          <w:rFonts w:ascii="Open Sans" w:hAnsi="Open Sans" w:cs="Open Sans"/>
          <w:color w:val="44546A" w:themeColor="text2"/>
          <w:sz w:val="24"/>
          <w:szCs w:val="24"/>
        </w:rPr>
        <w:lastRenderedPageBreak/>
        <w:t xml:space="preserve">applications, to rate and rank projects, make </w:t>
      </w:r>
      <w:r w:rsidR="00F95504">
        <w:rPr>
          <w:rFonts w:ascii="Open Sans" w:hAnsi="Open Sans" w:cs="Open Sans"/>
          <w:color w:val="44546A" w:themeColor="text2"/>
          <w:sz w:val="24"/>
          <w:szCs w:val="24"/>
        </w:rPr>
        <w:t xml:space="preserve">the </w:t>
      </w:r>
      <w:r w:rsidRPr="00CF43B1">
        <w:rPr>
          <w:rFonts w:ascii="Open Sans" w:hAnsi="Open Sans" w:cs="Open Sans"/>
          <w:color w:val="44546A" w:themeColor="text2"/>
          <w:sz w:val="24"/>
          <w:szCs w:val="24"/>
        </w:rPr>
        <w:t>funding decisions, and to develop and approve CDBG policies, such as rating and ranking.  As such, the RRC provides significant input into the distribution of funding section of the plan.</w:t>
      </w:r>
    </w:p>
    <w:p w14:paraId="2BACD807" w14:textId="0CEDB7C1" w:rsidR="00CF43B1" w:rsidRDefault="00CF43B1" w:rsidP="00CF43B1">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Economic Development District Board</w:t>
      </w:r>
    </w:p>
    <w:p w14:paraId="16AF1187" w14:textId="2024EEF0" w:rsidR="00CF43B1" w:rsidRDefault="00CF43B1" w:rsidP="00CF43B1">
      <w:pPr>
        <w:rPr>
          <w:rFonts w:ascii="Open Sans" w:hAnsi="Open Sans" w:cs="Open Sans"/>
          <w:color w:val="44546A" w:themeColor="text2"/>
          <w:sz w:val="24"/>
          <w:szCs w:val="24"/>
        </w:rPr>
      </w:pPr>
      <w:r w:rsidRPr="00CF43B1">
        <w:rPr>
          <w:rFonts w:ascii="Open Sans" w:hAnsi="Open Sans" w:cs="Open Sans"/>
          <w:color w:val="44546A" w:themeColor="text2"/>
          <w:sz w:val="24"/>
          <w:szCs w:val="24"/>
        </w:rPr>
        <w:t xml:space="preserve">The EDD Board is a group including elected officials, economic development professionals, </w:t>
      </w:r>
      <w:proofErr w:type="gramStart"/>
      <w:r w:rsidRPr="00CF43B1">
        <w:rPr>
          <w:rFonts w:ascii="Open Sans" w:hAnsi="Open Sans" w:cs="Open Sans"/>
          <w:color w:val="44546A" w:themeColor="text2"/>
          <w:sz w:val="24"/>
          <w:szCs w:val="24"/>
        </w:rPr>
        <w:t>business</w:t>
      </w:r>
      <w:proofErr w:type="gramEnd"/>
      <w:r w:rsidRPr="00CF43B1">
        <w:rPr>
          <w:rFonts w:ascii="Open Sans" w:hAnsi="Open Sans" w:cs="Open Sans"/>
          <w:color w:val="44546A" w:themeColor="text2"/>
          <w:sz w:val="24"/>
          <w:szCs w:val="24"/>
        </w:rPr>
        <w:t xml:space="preserve"> and private sector representatives.  The composition of the EDD Board is designated by the Economic Development Administration (EDA).  The Board provides oversight to the economic development activities of the Mountainland Economic Development District.   For the Consolidated Plan, the EDD Board was consulted in developing information included in the Economic Development section of the plan, including goals and objectives for the EDD program.  </w:t>
      </w:r>
    </w:p>
    <w:p w14:paraId="43EF28E8" w14:textId="002DD554" w:rsidR="00CF43B1" w:rsidRDefault="00CF43B1" w:rsidP="00CF43B1">
      <w:pPr>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Other Agencies</w:t>
      </w:r>
    </w:p>
    <w:p w14:paraId="2EDFE1E5" w14:textId="41A8C539" w:rsidR="00CF43B1" w:rsidRPr="00CF43B1" w:rsidRDefault="00CF43B1" w:rsidP="00CF43B1">
      <w:pPr>
        <w:rPr>
          <w:rFonts w:ascii="Open Sans" w:hAnsi="Open Sans" w:cs="Open Sans"/>
          <w:color w:val="44546A" w:themeColor="text2"/>
          <w:sz w:val="24"/>
          <w:szCs w:val="24"/>
        </w:rPr>
      </w:pPr>
      <w:r w:rsidRPr="00CF43B1">
        <w:rPr>
          <w:rFonts w:ascii="Open Sans" w:hAnsi="Open Sans" w:cs="Open Sans"/>
          <w:color w:val="44546A" w:themeColor="text2"/>
          <w:sz w:val="24"/>
          <w:szCs w:val="24"/>
        </w:rPr>
        <w:t xml:space="preserve">A primary purpose of the Association of Governments is to coordinate federal, </w:t>
      </w:r>
      <w:proofErr w:type="gramStart"/>
      <w:r w:rsidRPr="00CF43B1">
        <w:rPr>
          <w:rFonts w:ascii="Open Sans" w:hAnsi="Open Sans" w:cs="Open Sans"/>
          <w:color w:val="44546A" w:themeColor="text2"/>
          <w:sz w:val="24"/>
          <w:szCs w:val="24"/>
        </w:rPr>
        <w:t>state</w:t>
      </w:r>
      <w:proofErr w:type="gramEnd"/>
      <w:r w:rsidRPr="00CF43B1">
        <w:rPr>
          <w:rFonts w:ascii="Open Sans" w:hAnsi="Open Sans" w:cs="Open Sans"/>
          <w:color w:val="44546A" w:themeColor="text2"/>
          <w:sz w:val="24"/>
          <w:szCs w:val="24"/>
        </w:rPr>
        <w:t xml:space="preserve"> and local programs across our region. Much of this coordination involves aspects of the consolidated planning process.  Efforts made during the preparation of the 202</w:t>
      </w:r>
      <w:r w:rsidR="00F95504">
        <w:rPr>
          <w:rFonts w:ascii="Open Sans" w:hAnsi="Open Sans" w:cs="Open Sans"/>
          <w:color w:val="44546A" w:themeColor="text2"/>
          <w:sz w:val="24"/>
          <w:szCs w:val="24"/>
        </w:rPr>
        <w:t>2</w:t>
      </w:r>
      <w:r w:rsidRPr="00CF43B1">
        <w:rPr>
          <w:rFonts w:ascii="Open Sans" w:hAnsi="Open Sans" w:cs="Open Sans"/>
          <w:color w:val="44546A" w:themeColor="text2"/>
          <w:sz w:val="24"/>
          <w:szCs w:val="24"/>
        </w:rPr>
        <w:t xml:space="preserve"> Annual Action Plan include: </w:t>
      </w:r>
    </w:p>
    <w:p w14:paraId="6DFC34AB" w14:textId="02A2FA45"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Monthly reports from congressional staff as a standing agenda item on the MAG Executive Council. These reports keep local officials informed of ongoing congressional actions, including housing, urban and economic development initiatives, and provide an opportunity for local elected officials to give input and comment.</w:t>
      </w:r>
    </w:p>
    <w:p w14:paraId="0933E4FA" w14:textId="08817BF2"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Representation on the Utah Small Cities CDBG Policy Committee.  The committee develops policy that guides the implementation of the small cities CDBG program.</w:t>
      </w:r>
    </w:p>
    <w:p w14:paraId="1531E92E" w14:textId="59BC5BA7"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Involvement with the Governor’s Office of Planning and Budget in devel</w:t>
      </w:r>
      <w:r>
        <w:rPr>
          <w:rFonts w:ascii="Open Sans" w:hAnsi="Open Sans" w:cs="Open Sans"/>
          <w:color w:val="44546A" w:themeColor="text2"/>
          <w:sz w:val="24"/>
          <w:szCs w:val="24"/>
        </w:rPr>
        <w:t>o</w:t>
      </w:r>
      <w:r w:rsidRPr="00CF43B1">
        <w:rPr>
          <w:rFonts w:ascii="Open Sans" w:hAnsi="Open Sans" w:cs="Open Sans"/>
          <w:color w:val="44546A" w:themeColor="text2"/>
          <w:sz w:val="24"/>
          <w:szCs w:val="24"/>
        </w:rPr>
        <w:t>pment of population projections and criteria.</w:t>
      </w:r>
    </w:p>
    <w:p w14:paraId="2DAC6F79" w14:textId="6773A100"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Close interaction with the region’s state legislative delegation in advocating for various community and economic development, transportation, and human service needs.</w:t>
      </w:r>
    </w:p>
    <w:p w14:paraId="08C2C845" w14:textId="79616783"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Annual meetings with the federal elected officials to advocate for various community and economic development, transportation, and human service needs.</w:t>
      </w:r>
    </w:p>
    <w:p w14:paraId="44B00EE0" w14:textId="27C83BC0" w:rsidR="00CF43B1" w:rsidRP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lastRenderedPageBreak/>
        <w:t>Participation and interaction with the Economic Development Administration, and development of the Comprehensive Economic Development Strategy (CEDS).  EDA has embraced the concept of combining the consolidated planning process with the CEDS to create a truly consolidated planning approach.</w:t>
      </w:r>
    </w:p>
    <w:p w14:paraId="795D96C2" w14:textId="28CD15A3" w:rsidR="00CF43B1" w:rsidRDefault="00CF43B1" w:rsidP="00CF43B1">
      <w:pPr>
        <w:pStyle w:val="ListParagraph"/>
        <w:numPr>
          <w:ilvl w:val="0"/>
          <w:numId w:val="4"/>
        </w:numPr>
        <w:rPr>
          <w:rFonts w:ascii="Open Sans" w:hAnsi="Open Sans" w:cs="Open Sans"/>
          <w:color w:val="44546A" w:themeColor="text2"/>
          <w:sz w:val="24"/>
          <w:szCs w:val="24"/>
        </w:rPr>
      </w:pPr>
      <w:r w:rsidRPr="00CF43B1">
        <w:rPr>
          <w:rFonts w:ascii="Open Sans" w:hAnsi="Open Sans" w:cs="Open Sans"/>
          <w:color w:val="44546A" w:themeColor="text2"/>
          <w:sz w:val="24"/>
          <w:szCs w:val="24"/>
        </w:rPr>
        <w:t>Participation with the Utah Area Agency on Aging Association, and regular contact and interaction with various divisions of the Utah State Department of Human Services, and Utah State Department of Health, in providing and advocating for aging services.</w:t>
      </w:r>
    </w:p>
    <w:p w14:paraId="5EC3CA3B" w14:textId="741D0075" w:rsidR="00CF43B1" w:rsidRDefault="00CF43B1" w:rsidP="00CF43B1">
      <w:pPr>
        <w:ind w:left="360"/>
        <w:rPr>
          <w:rFonts w:ascii="Open Sans SemiBold" w:hAnsi="Open Sans SemiBold" w:cs="Open Sans SemiBold"/>
          <w:color w:val="44546A" w:themeColor="text2"/>
          <w:sz w:val="28"/>
          <w:szCs w:val="28"/>
        </w:rPr>
      </w:pPr>
      <w:r>
        <w:rPr>
          <w:rFonts w:ascii="Open Sans SemiBold" w:hAnsi="Open Sans SemiBold" w:cs="Open Sans SemiBold"/>
          <w:color w:val="44546A" w:themeColor="text2"/>
          <w:sz w:val="28"/>
          <w:szCs w:val="28"/>
        </w:rPr>
        <w:t>Approval Process</w:t>
      </w:r>
    </w:p>
    <w:p w14:paraId="17A7718E" w14:textId="29CF9324" w:rsidR="00CF43B1" w:rsidRDefault="00CF43B1" w:rsidP="00CF43B1">
      <w:pPr>
        <w:ind w:left="360"/>
        <w:rPr>
          <w:rFonts w:ascii="Open Sans" w:hAnsi="Open Sans" w:cs="Open Sans"/>
          <w:color w:val="44546A" w:themeColor="text2"/>
          <w:sz w:val="24"/>
          <w:szCs w:val="24"/>
        </w:rPr>
      </w:pPr>
      <w:r w:rsidRPr="00CF43B1">
        <w:rPr>
          <w:rFonts w:ascii="Open Sans" w:hAnsi="Open Sans" w:cs="Open Sans"/>
          <w:color w:val="44546A" w:themeColor="text2"/>
          <w:sz w:val="24"/>
          <w:szCs w:val="24"/>
        </w:rPr>
        <w:t>The Regional Review Committee provides oversight and has final authority on all Small Cities CDBG decisions, including final approval authority for the Consolidated Plan.</w:t>
      </w:r>
    </w:p>
    <w:p w14:paraId="1B4C89BF" w14:textId="6F75D32D" w:rsidR="00CF43B1" w:rsidRDefault="00D0463C" w:rsidP="00F005CA">
      <w:pPr>
        <w:pStyle w:val="Heading2"/>
        <w:rPr>
          <w:rFonts w:ascii="Open Sans SemiBold" w:hAnsi="Open Sans SemiBold" w:cs="Open Sans SemiBold"/>
          <w:color w:val="44546A" w:themeColor="text2"/>
          <w:sz w:val="28"/>
          <w:szCs w:val="28"/>
        </w:rPr>
      </w:pPr>
      <w:bookmarkStart w:id="4" w:name="_Toc85453904"/>
      <w:r w:rsidRPr="00D0463C">
        <w:rPr>
          <w:rFonts w:ascii="Open Sans SemiBold" w:hAnsi="Open Sans SemiBold" w:cs="Open Sans SemiBold"/>
          <w:color w:val="44546A" w:themeColor="text2"/>
          <w:sz w:val="28"/>
          <w:szCs w:val="28"/>
        </w:rPr>
        <w:t>Citizen Participation</w:t>
      </w:r>
      <w:bookmarkEnd w:id="4"/>
    </w:p>
    <w:p w14:paraId="0FC2462B" w14:textId="081243B2" w:rsidR="00303EF7" w:rsidRPr="00303EF7" w:rsidRDefault="00303EF7" w:rsidP="00303EF7">
      <w:pPr>
        <w:ind w:left="360"/>
        <w:rPr>
          <w:rFonts w:ascii="Open Sans" w:hAnsi="Open Sans" w:cs="Open Sans"/>
          <w:color w:val="44546A" w:themeColor="text2"/>
          <w:sz w:val="24"/>
          <w:szCs w:val="24"/>
        </w:rPr>
      </w:pPr>
      <w:r w:rsidRPr="00303EF7">
        <w:rPr>
          <w:rFonts w:ascii="Open Sans" w:hAnsi="Open Sans" w:cs="Open Sans"/>
          <w:color w:val="44546A" w:themeColor="text2"/>
          <w:sz w:val="24"/>
          <w:szCs w:val="24"/>
        </w:rPr>
        <w:t xml:space="preserve">Mountainland AOG makes every effort to encourage responsible input into the Annual Action Plan document from involved or interested parties and the public.  To the extent possible, any comments received are incorporated into the final Consolidated Plan document.   </w:t>
      </w:r>
    </w:p>
    <w:p w14:paraId="3DFCF981" w14:textId="2089BE86" w:rsidR="00303EF7" w:rsidRPr="00303EF7" w:rsidRDefault="00303EF7" w:rsidP="00303EF7">
      <w:pPr>
        <w:pStyle w:val="ListParagraph"/>
        <w:numPr>
          <w:ilvl w:val="0"/>
          <w:numId w:val="5"/>
        </w:numPr>
        <w:rPr>
          <w:rFonts w:ascii="Open Sans" w:hAnsi="Open Sans" w:cs="Open Sans"/>
          <w:color w:val="44546A" w:themeColor="text2"/>
          <w:sz w:val="24"/>
          <w:szCs w:val="24"/>
        </w:rPr>
      </w:pPr>
      <w:r w:rsidRPr="00303EF7">
        <w:rPr>
          <w:rFonts w:ascii="Open Sans" w:hAnsi="Open Sans" w:cs="Open Sans"/>
          <w:color w:val="44546A" w:themeColor="text2"/>
          <w:sz w:val="24"/>
          <w:szCs w:val="24"/>
        </w:rPr>
        <w:t>Public interaction is also available through the MAG website.  The Annual Action Plan is posted on the web, and the public is invited to submit comments via e-mail, by phone or regular mail.</w:t>
      </w:r>
    </w:p>
    <w:p w14:paraId="67BB3929" w14:textId="217BBA16" w:rsidR="00303EF7" w:rsidRPr="00303EF7" w:rsidRDefault="00303EF7" w:rsidP="00303EF7">
      <w:pPr>
        <w:pStyle w:val="ListParagraph"/>
        <w:numPr>
          <w:ilvl w:val="0"/>
          <w:numId w:val="5"/>
        </w:numPr>
        <w:rPr>
          <w:rFonts w:ascii="Open Sans" w:hAnsi="Open Sans" w:cs="Open Sans"/>
          <w:color w:val="44546A" w:themeColor="text2"/>
          <w:sz w:val="24"/>
          <w:szCs w:val="24"/>
        </w:rPr>
      </w:pPr>
      <w:r w:rsidRPr="00303EF7">
        <w:rPr>
          <w:rFonts w:ascii="Open Sans" w:hAnsi="Open Sans" w:cs="Open Sans"/>
          <w:color w:val="44546A" w:themeColor="text2"/>
          <w:sz w:val="24"/>
          <w:szCs w:val="24"/>
        </w:rPr>
        <w:t>A Public Notice is posted on the Utah Public Notice Website</w:t>
      </w:r>
    </w:p>
    <w:p w14:paraId="1633657A" w14:textId="6EF36FF6" w:rsidR="00303EF7" w:rsidRDefault="00303EF7" w:rsidP="00303EF7">
      <w:pPr>
        <w:pStyle w:val="ListParagraph"/>
        <w:numPr>
          <w:ilvl w:val="0"/>
          <w:numId w:val="5"/>
        </w:numPr>
        <w:rPr>
          <w:rFonts w:ascii="Open Sans" w:hAnsi="Open Sans" w:cs="Open Sans"/>
          <w:color w:val="44546A" w:themeColor="text2"/>
          <w:sz w:val="24"/>
          <w:szCs w:val="24"/>
        </w:rPr>
      </w:pPr>
      <w:r w:rsidRPr="00303EF7">
        <w:rPr>
          <w:rFonts w:ascii="Open Sans" w:hAnsi="Open Sans" w:cs="Open Sans"/>
          <w:color w:val="44546A" w:themeColor="text2"/>
          <w:sz w:val="24"/>
          <w:szCs w:val="24"/>
        </w:rPr>
        <w:t>A draft plan is provided to the State Division of Housing and Community Development.  Comments on the draft relate to the plan meeting state and federal reporting requirements</w:t>
      </w:r>
    </w:p>
    <w:p w14:paraId="6CC57A58" w14:textId="32E04918" w:rsidR="00303EF7" w:rsidRDefault="00303EF7" w:rsidP="00BF00AF">
      <w:pPr>
        <w:rPr>
          <w:rFonts w:ascii="Open Sans" w:hAnsi="Open Sans" w:cs="Open Sans"/>
          <w:color w:val="44546A" w:themeColor="text2"/>
          <w:sz w:val="24"/>
          <w:szCs w:val="24"/>
        </w:rPr>
      </w:pPr>
    </w:p>
    <w:p w14:paraId="6160F0D0" w14:textId="4A99903B" w:rsidR="00BF00AF" w:rsidRDefault="00BF00AF" w:rsidP="00F005CA">
      <w:pPr>
        <w:pStyle w:val="Heading1"/>
        <w:rPr>
          <w:rFonts w:ascii="Open Sans ExtraBold" w:hAnsi="Open Sans ExtraBold" w:cs="Open Sans ExtraBold"/>
          <w:color w:val="44546A" w:themeColor="text2"/>
          <w:sz w:val="28"/>
          <w:szCs w:val="28"/>
        </w:rPr>
      </w:pPr>
      <w:bookmarkStart w:id="5" w:name="_Toc85453905"/>
      <w:r>
        <w:rPr>
          <w:rFonts w:ascii="Open Sans ExtraBold" w:hAnsi="Open Sans ExtraBold" w:cs="Open Sans ExtraBold"/>
          <w:color w:val="44546A" w:themeColor="text2"/>
          <w:sz w:val="28"/>
          <w:szCs w:val="28"/>
        </w:rPr>
        <w:t>EXPECTED RESOURCES</w:t>
      </w:r>
      <w:bookmarkEnd w:id="5"/>
    </w:p>
    <w:tbl>
      <w:tblPr>
        <w:tblStyle w:val="TableGrid"/>
        <w:tblW w:w="0" w:type="auto"/>
        <w:tblInd w:w="-5" w:type="dxa"/>
        <w:tblLook w:val="04A0" w:firstRow="1" w:lastRow="0" w:firstColumn="1" w:lastColumn="0" w:noHBand="0" w:noVBand="1"/>
      </w:tblPr>
      <w:tblGrid>
        <w:gridCol w:w="3356"/>
        <w:gridCol w:w="3356"/>
      </w:tblGrid>
      <w:tr w:rsidR="00BF00AF" w:rsidRPr="00BF00AF" w14:paraId="2D2F832C" w14:textId="77777777" w:rsidTr="00BF00AF">
        <w:trPr>
          <w:trHeight w:val="283"/>
        </w:trPr>
        <w:tc>
          <w:tcPr>
            <w:tcW w:w="3356" w:type="dxa"/>
          </w:tcPr>
          <w:p w14:paraId="4FEED030" w14:textId="74A2D182"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CDBG Annual Allocation</w:t>
            </w:r>
          </w:p>
        </w:tc>
        <w:tc>
          <w:tcPr>
            <w:tcW w:w="3356" w:type="dxa"/>
          </w:tcPr>
          <w:p w14:paraId="17B59C07" w14:textId="6A0B9AE5"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$612,000</w:t>
            </w:r>
          </w:p>
        </w:tc>
      </w:tr>
      <w:tr w:rsidR="00BF00AF" w:rsidRPr="00BF00AF" w14:paraId="03BA0E5B" w14:textId="77777777" w:rsidTr="00BF00AF">
        <w:trPr>
          <w:trHeight w:val="296"/>
        </w:trPr>
        <w:tc>
          <w:tcPr>
            <w:tcW w:w="3356" w:type="dxa"/>
          </w:tcPr>
          <w:p w14:paraId="12C80588" w14:textId="46F463B1"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Program Income</w:t>
            </w:r>
          </w:p>
        </w:tc>
        <w:tc>
          <w:tcPr>
            <w:tcW w:w="3356" w:type="dxa"/>
          </w:tcPr>
          <w:p w14:paraId="1E88DE04" w14:textId="51340AC4"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$0</w:t>
            </w:r>
          </w:p>
        </w:tc>
      </w:tr>
      <w:tr w:rsidR="00BF00AF" w:rsidRPr="00BF00AF" w14:paraId="47DD9476" w14:textId="77777777" w:rsidTr="00BF00AF">
        <w:trPr>
          <w:trHeight w:val="283"/>
        </w:trPr>
        <w:tc>
          <w:tcPr>
            <w:tcW w:w="3356" w:type="dxa"/>
          </w:tcPr>
          <w:p w14:paraId="13C576CD" w14:textId="46030116"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Prior Years Resources</w:t>
            </w:r>
          </w:p>
        </w:tc>
        <w:tc>
          <w:tcPr>
            <w:tcW w:w="3356" w:type="dxa"/>
          </w:tcPr>
          <w:p w14:paraId="196B63BA" w14:textId="44FA130B"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$0</w:t>
            </w:r>
          </w:p>
        </w:tc>
      </w:tr>
      <w:tr w:rsidR="00BF00AF" w:rsidRPr="00BF00AF" w14:paraId="73ADDA04" w14:textId="77777777" w:rsidTr="00BF00AF">
        <w:trPr>
          <w:trHeight w:val="283"/>
        </w:trPr>
        <w:tc>
          <w:tcPr>
            <w:tcW w:w="3356" w:type="dxa"/>
          </w:tcPr>
          <w:p w14:paraId="1A954E0F" w14:textId="6C7EFB33"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Total</w:t>
            </w:r>
          </w:p>
        </w:tc>
        <w:tc>
          <w:tcPr>
            <w:tcW w:w="3356" w:type="dxa"/>
          </w:tcPr>
          <w:p w14:paraId="6CE04B18" w14:textId="429B59FA" w:rsidR="00BF00AF" w:rsidRP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t>$612,000</w:t>
            </w:r>
          </w:p>
        </w:tc>
      </w:tr>
    </w:tbl>
    <w:p w14:paraId="3D254F67" w14:textId="77777777" w:rsidR="00BF00AF" w:rsidRDefault="00BF00AF" w:rsidP="00BF00AF">
      <w:pPr>
        <w:rPr>
          <w:rFonts w:ascii="Open Sans" w:hAnsi="Open Sans" w:cs="Open Sans"/>
          <w:color w:val="44546A" w:themeColor="text2"/>
          <w:sz w:val="24"/>
          <w:szCs w:val="24"/>
        </w:rPr>
      </w:pPr>
    </w:p>
    <w:p w14:paraId="01253CE2" w14:textId="7B4F8B3A" w:rsidR="00BF00AF" w:rsidRDefault="00BF00AF" w:rsidP="00BF00AF">
      <w:pPr>
        <w:rPr>
          <w:rFonts w:ascii="Open Sans" w:hAnsi="Open Sans" w:cs="Open Sans"/>
          <w:color w:val="44546A" w:themeColor="text2"/>
          <w:sz w:val="24"/>
          <w:szCs w:val="24"/>
        </w:rPr>
      </w:pPr>
      <w:r w:rsidRPr="00BF00AF">
        <w:rPr>
          <w:rFonts w:ascii="Open Sans" w:hAnsi="Open Sans" w:cs="Open Sans"/>
          <w:color w:val="44546A" w:themeColor="text2"/>
          <w:sz w:val="24"/>
          <w:szCs w:val="24"/>
        </w:rPr>
        <w:lastRenderedPageBreak/>
        <w:t>It is estimated the region will receive approximately $612,000 in CDBG funding. This allocation will leverage approximately $100,000 in local match money. No match is required; however, applications are scored based on</w:t>
      </w:r>
      <w:r w:rsidR="00F95504">
        <w:rPr>
          <w:rFonts w:ascii="Open Sans" w:hAnsi="Open Sans" w:cs="Open Sans"/>
          <w:color w:val="44546A" w:themeColor="text2"/>
          <w:sz w:val="24"/>
          <w:szCs w:val="24"/>
        </w:rPr>
        <w:t xml:space="preserve"> the</w:t>
      </w:r>
      <w:r w:rsidRPr="00BF00AF">
        <w:rPr>
          <w:rFonts w:ascii="Open Sans" w:hAnsi="Open Sans" w:cs="Open Sans"/>
          <w:color w:val="44546A" w:themeColor="text2"/>
          <w:sz w:val="24"/>
          <w:szCs w:val="24"/>
        </w:rPr>
        <w:t xml:space="preserve"> percentage of matching dollars for the proposed project.</w:t>
      </w:r>
    </w:p>
    <w:p w14:paraId="234A7EC0" w14:textId="7BED454B" w:rsidR="00BF00AF" w:rsidRDefault="00BF00AF">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7CCC6428" w14:textId="289E1383" w:rsidR="007A454C" w:rsidRDefault="007A454C" w:rsidP="00F005CA">
      <w:pPr>
        <w:pStyle w:val="Heading1"/>
        <w:rPr>
          <w:rFonts w:ascii="Open Sans ExtraBold" w:hAnsi="Open Sans ExtraBold" w:cs="Open Sans ExtraBold"/>
          <w:color w:val="44546A" w:themeColor="text2"/>
          <w:sz w:val="28"/>
          <w:szCs w:val="28"/>
        </w:rPr>
      </w:pPr>
      <w:bookmarkStart w:id="6" w:name="_Toc85453906"/>
      <w:r>
        <w:rPr>
          <w:rFonts w:ascii="Open Sans ExtraBold" w:hAnsi="Open Sans ExtraBold" w:cs="Open Sans ExtraBold"/>
          <w:color w:val="44546A" w:themeColor="text2"/>
          <w:sz w:val="28"/>
          <w:szCs w:val="28"/>
        </w:rPr>
        <w:lastRenderedPageBreak/>
        <w:t>GOALS AND OBJECTIVES</w:t>
      </w:r>
      <w:bookmarkEnd w:id="6"/>
    </w:p>
    <w:p w14:paraId="535F5278" w14:textId="6ADBD17D"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The Mountainland Association of Governments brings local elected officials together for the purpose of identification of regional priorities, and to make plans, policies and funding decisions that address those priorities. This cooperative process provides input into a range of community development, economic development, transportation, and human service issues.</w:t>
      </w:r>
      <w:r>
        <w:rPr>
          <w:rFonts w:ascii="Open Sans" w:hAnsi="Open Sans" w:cs="Open Sans"/>
          <w:color w:val="44546A" w:themeColor="text2"/>
          <w:sz w:val="24"/>
          <w:szCs w:val="24"/>
        </w:rPr>
        <w:t xml:space="preserve"> Using the Mountainland CDBG priorities, the following goals have been set:</w:t>
      </w:r>
    </w:p>
    <w:tbl>
      <w:tblPr>
        <w:tblStyle w:val="TableGrid"/>
        <w:tblW w:w="0" w:type="auto"/>
        <w:tblLook w:val="04A0" w:firstRow="1" w:lastRow="0" w:firstColumn="1" w:lastColumn="0" w:noHBand="0" w:noVBand="1"/>
      </w:tblPr>
      <w:tblGrid>
        <w:gridCol w:w="3116"/>
        <w:gridCol w:w="3117"/>
        <w:gridCol w:w="3117"/>
      </w:tblGrid>
      <w:tr w:rsidR="007A454C" w14:paraId="2648F559" w14:textId="77777777" w:rsidTr="007A454C">
        <w:tc>
          <w:tcPr>
            <w:tcW w:w="3116" w:type="dxa"/>
          </w:tcPr>
          <w:p w14:paraId="661F8B3D" w14:textId="11BCE9E0"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Goal Outcome Indicator</w:t>
            </w:r>
          </w:p>
        </w:tc>
        <w:tc>
          <w:tcPr>
            <w:tcW w:w="3117" w:type="dxa"/>
          </w:tcPr>
          <w:p w14:paraId="632D82D7" w14:textId="60AB369A"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Quantity</w:t>
            </w:r>
          </w:p>
        </w:tc>
        <w:tc>
          <w:tcPr>
            <w:tcW w:w="3117" w:type="dxa"/>
          </w:tcPr>
          <w:p w14:paraId="64017095" w14:textId="6855A5DB"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Unit of Measurement</w:t>
            </w:r>
          </w:p>
        </w:tc>
      </w:tr>
      <w:tr w:rsidR="007A454C" w14:paraId="4226C94B" w14:textId="77777777" w:rsidTr="007A454C">
        <w:tc>
          <w:tcPr>
            <w:tcW w:w="3116" w:type="dxa"/>
          </w:tcPr>
          <w:p w14:paraId="57F91C6A" w14:textId="76DF91FA"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Public Facility or Infrastructure Activity other than low/moderate income housing benefit</w:t>
            </w:r>
          </w:p>
        </w:tc>
        <w:tc>
          <w:tcPr>
            <w:tcW w:w="3117" w:type="dxa"/>
          </w:tcPr>
          <w:p w14:paraId="0AC3FA7C" w14:textId="6C29B877"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200</w:t>
            </w:r>
          </w:p>
        </w:tc>
        <w:tc>
          <w:tcPr>
            <w:tcW w:w="3117" w:type="dxa"/>
          </w:tcPr>
          <w:p w14:paraId="1B6D10B6" w14:textId="617D56AC"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Persons Assisted</w:t>
            </w:r>
          </w:p>
        </w:tc>
      </w:tr>
      <w:tr w:rsidR="007A454C" w14:paraId="6197AE50" w14:textId="77777777" w:rsidTr="007A454C">
        <w:tc>
          <w:tcPr>
            <w:tcW w:w="3116" w:type="dxa"/>
          </w:tcPr>
          <w:p w14:paraId="65051E68" w14:textId="34DDD924"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Public Facility or Infrastructure Activities for low/moderate income housing benefit</w:t>
            </w:r>
          </w:p>
        </w:tc>
        <w:tc>
          <w:tcPr>
            <w:tcW w:w="3117" w:type="dxa"/>
          </w:tcPr>
          <w:p w14:paraId="106C65A8" w14:textId="3DE0169D"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2984AAC2" w14:textId="1D261FB6"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Households Assisted</w:t>
            </w:r>
          </w:p>
        </w:tc>
      </w:tr>
      <w:tr w:rsidR="007A454C" w14:paraId="5EEC35D3" w14:textId="77777777" w:rsidTr="007A454C">
        <w:tc>
          <w:tcPr>
            <w:tcW w:w="3116" w:type="dxa"/>
          </w:tcPr>
          <w:p w14:paraId="13072B1A" w14:textId="605D3B08"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Public service activities other than low/moderate income housing benefit</w:t>
            </w:r>
          </w:p>
        </w:tc>
        <w:tc>
          <w:tcPr>
            <w:tcW w:w="3117" w:type="dxa"/>
          </w:tcPr>
          <w:p w14:paraId="150D3779" w14:textId="73AE8855"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3715EB2F" w14:textId="65785EC7"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Persons Assisted</w:t>
            </w:r>
          </w:p>
        </w:tc>
      </w:tr>
      <w:tr w:rsidR="007A454C" w14:paraId="32ACBD5E" w14:textId="77777777" w:rsidTr="007A454C">
        <w:tc>
          <w:tcPr>
            <w:tcW w:w="3116" w:type="dxa"/>
          </w:tcPr>
          <w:p w14:paraId="26D9D1FF" w14:textId="38017A61"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Public service activities for low/moderate income housing benefit</w:t>
            </w:r>
          </w:p>
        </w:tc>
        <w:tc>
          <w:tcPr>
            <w:tcW w:w="3117" w:type="dxa"/>
          </w:tcPr>
          <w:p w14:paraId="0D59DE29" w14:textId="2BC09F33"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4BAC790D" w14:textId="503C6BB0"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Households Assisted</w:t>
            </w:r>
          </w:p>
        </w:tc>
      </w:tr>
      <w:tr w:rsidR="007A454C" w14:paraId="0810289A" w14:textId="77777777" w:rsidTr="007A454C">
        <w:tc>
          <w:tcPr>
            <w:tcW w:w="3116" w:type="dxa"/>
          </w:tcPr>
          <w:p w14:paraId="27E98A3A" w14:textId="6448B018"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Facade treatment/Business building rehabilitation</w:t>
            </w:r>
          </w:p>
        </w:tc>
        <w:tc>
          <w:tcPr>
            <w:tcW w:w="3117" w:type="dxa"/>
          </w:tcPr>
          <w:p w14:paraId="4568AD0F" w14:textId="53988626"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5BC3F80E" w14:textId="5483BD86"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Business</w:t>
            </w:r>
          </w:p>
        </w:tc>
      </w:tr>
      <w:tr w:rsidR="007A454C" w14:paraId="76C29B2D" w14:textId="77777777" w:rsidTr="007A454C">
        <w:tc>
          <w:tcPr>
            <w:tcW w:w="3116" w:type="dxa"/>
          </w:tcPr>
          <w:p w14:paraId="6EF2448E" w14:textId="59A113AF"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Rental units constructed</w:t>
            </w:r>
          </w:p>
        </w:tc>
        <w:tc>
          <w:tcPr>
            <w:tcW w:w="3117" w:type="dxa"/>
          </w:tcPr>
          <w:p w14:paraId="5F3CE6A8" w14:textId="78FEF2AC"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3E69AA9A" w14:textId="1A20AA88"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 Housing Unit</w:t>
            </w:r>
          </w:p>
        </w:tc>
      </w:tr>
      <w:tr w:rsidR="007A454C" w14:paraId="024A572C" w14:textId="77777777" w:rsidTr="007A454C">
        <w:tc>
          <w:tcPr>
            <w:tcW w:w="3116" w:type="dxa"/>
          </w:tcPr>
          <w:p w14:paraId="30F3129B" w14:textId="6DEF5B12" w:rsidR="007A454C" w:rsidRDefault="007A454C" w:rsidP="007A454C">
            <w:pPr>
              <w:rPr>
                <w:rFonts w:ascii="Open Sans" w:hAnsi="Open Sans" w:cs="Open Sans"/>
                <w:color w:val="44546A" w:themeColor="text2"/>
                <w:sz w:val="24"/>
                <w:szCs w:val="24"/>
              </w:rPr>
            </w:pPr>
            <w:r w:rsidRPr="007A454C">
              <w:rPr>
                <w:rFonts w:ascii="Open Sans" w:hAnsi="Open Sans" w:cs="Open Sans"/>
                <w:color w:val="44546A" w:themeColor="text2"/>
                <w:sz w:val="24"/>
                <w:szCs w:val="24"/>
              </w:rPr>
              <w:t>Rental units rehabilitated</w:t>
            </w:r>
          </w:p>
        </w:tc>
        <w:tc>
          <w:tcPr>
            <w:tcW w:w="3117" w:type="dxa"/>
          </w:tcPr>
          <w:p w14:paraId="781D9873" w14:textId="1285A9D8"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226E734F" w14:textId="05DEBDB1"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 Housing Unit</w:t>
            </w:r>
          </w:p>
        </w:tc>
      </w:tr>
      <w:tr w:rsidR="007A454C" w14:paraId="50CF1C31" w14:textId="77777777" w:rsidTr="007A454C">
        <w:tc>
          <w:tcPr>
            <w:tcW w:w="3116" w:type="dxa"/>
          </w:tcPr>
          <w:p w14:paraId="12D91BD5" w14:textId="72CF3D13"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Homeowner Housing Added</w:t>
            </w:r>
          </w:p>
        </w:tc>
        <w:tc>
          <w:tcPr>
            <w:tcW w:w="3117" w:type="dxa"/>
          </w:tcPr>
          <w:p w14:paraId="2E0D7D5E" w14:textId="13670794"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568F4175" w14:textId="7F7B29B5"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 Housing Unit</w:t>
            </w:r>
          </w:p>
        </w:tc>
      </w:tr>
      <w:tr w:rsidR="007A454C" w14:paraId="1D7C3E7B" w14:textId="77777777" w:rsidTr="007A454C">
        <w:tc>
          <w:tcPr>
            <w:tcW w:w="3116" w:type="dxa"/>
          </w:tcPr>
          <w:p w14:paraId="0D66DCB8" w14:textId="2F9AAAD5"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Homeowner Housing Rehabilitated</w:t>
            </w:r>
          </w:p>
        </w:tc>
        <w:tc>
          <w:tcPr>
            <w:tcW w:w="3117" w:type="dxa"/>
          </w:tcPr>
          <w:p w14:paraId="3E2E36F7" w14:textId="658AC365"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0DFF7D72" w14:textId="0EEE4DD6"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 Housing Unit</w:t>
            </w:r>
          </w:p>
        </w:tc>
      </w:tr>
      <w:tr w:rsidR="007A454C" w14:paraId="1D858C70" w14:textId="77777777" w:rsidTr="007A454C">
        <w:tc>
          <w:tcPr>
            <w:tcW w:w="3116" w:type="dxa"/>
          </w:tcPr>
          <w:p w14:paraId="1B38133A" w14:textId="0D8509CA"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Direct Financial Assistance to Homebuyers</w:t>
            </w:r>
          </w:p>
        </w:tc>
        <w:tc>
          <w:tcPr>
            <w:tcW w:w="3117" w:type="dxa"/>
          </w:tcPr>
          <w:p w14:paraId="514645A0" w14:textId="5B988C63"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0FE9F5C0" w14:textId="6A23216C"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Households Assisted</w:t>
            </w:r>
          </w:p>
        </w:tc>
      </w:tr>
      <w:tr w:rsidR="007A454C" w14:paraId="578EB375" w14:textId="77777777" w:rsidTr="007A454C">
        <w:tc>
          <w:tcPr>
            <w:tcW w:w="3116" w:type="dxa"/>
          </w:tcPr>
          <w:p w14:paraId="20BD4DAF" w14:textId="4BE04FB6"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Homelessness Prevention</w:t>
            </w:r>
          </w:p>
        </w:tc>
        <w:tc>
          <w:tcPr>
            <w:tcW w:w="3117" w:type="dxa"/>
          </w:tcPr>
          <w:p w14:paraId="1959E7DA" w14:textId="775ED0B5"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29204F4B" w14:textId="04C7F75A" w:rsidR="007A454C" w:rsidRDefault="007A454C" w:rsidP="007A454C">
            <w:pPr>
              <w:rPr>
                <w:rFonts w:ascii="Open Sans" w:hAnsi="Open Sans" w:cs="Open Sans"/>
                <w:color w:val="44546A" w:themeColor="text2"/>
                <w:sz w:val="24"/>
                <w:szCs w:val="24"/>
              </w:rPr>
            </w:pPr>
            <w:r>
              <w:rPr>
                <w:rFonts w:ascii="Open Sans" w:hAnsi="Open Sans" w:cs="Open Sans"/>
                <w:color w:val="44546A" w:themeColor="text2"/>
                <w:sz w:val="24"/>
                <w:szCs w:val="24"/>
              </w:rPr>
              <w:t>Persons Assisted</w:t>
            </w:r>
          </w:p>
        </w:tc>
      </w:tr>
      <w:tr w:rsidR="007A454C" w14:paraId="14AC5B34" w14:textId="77777777" w:rsidTr="00B130E6">
        <w:tc>
          <w:tcPr>
            <w:tcW w:w="3116" w:type="dxa"/>
          </w:tcPr>
          <w:p w14:paraId="16C4A720" w14:textId="77777777" w:rsidR="007A454C" w:rsidRDefault="007A454C" w:rsidP="00B130E6">
            <w:pPr>
              <w:rPr>
                <w:rFonts w:ascii="Open Sans" w:hAnsi="Open Sans" w:cs="Open Sans"/>
                <w:color w:val="44546A" w:themeColor="text2"/>
                <w:sz w:val="24"/>
                <w:szCs w:val="24"/>
              </w:rPr>
            </w:pPr>
            <w:r>
              <w:rPr>
                <w:rFonts w:ascii="Open Sans" w:hAnsi="Open Sans" w:cs="Open Sans"/>
                <w:color w:val="44546A" w:themeColor="text2"/>
                <w:sz w:val="24"/>
                <w:szCs w:val="24"/>
              </w:rPr>
              <w:t>Businesses Assisted</w:t>
            </w:r>
          </w:p>
        </w:tc>
        <w:tc>
          <w:tcPr>
            <w:tcW w:w="3117" w:type="dxa"/>
          </w:tcPr>
          <w:p w14:paraId="114C393D" w14:textId="77777777" w:rsidR="007A454C" w:rsidRDefault="007A454C" w:rsidP="00B130E6">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343C9EFF" w14:textId="77777777" w:rsidR="007A454C" w:rsidRDefault="007A454C" w:rsidP="00B130E6">
            <w:pPr>
              <w:rPr>
                <w:rFonts w:ascii="Open Sans" w:hAnsi="Open Sans" w:cs="Open Sans"/>
                <w:color w:val="44546A" w:themeColor="text2"/>
                <w:sz w:val="24"/>
                <w:szCs w:val="24"/>
              </w:rPr>
            </w:pPr>
            <w:r>
              <w:rPr>
                <w:rFonts w:ascii="Open Sans" w:hAnsi="Open Sans" w:cs="Open Sans"/>
                <w:color w:val="44546A" w:themeColor="text2"/>
                <w:sz w:val="24"/>
                <w:szCs w:val="24"/>
              </w:rPr>
              <w:t>Businesses Assisted</w:t>
            </w:r>
          </w:p>
        </w:tc>
      </w:tr>
      <w:tr w:rsidR="007A454C" w14:paraId="5C459D67" w14:textId="77777777" w:rsidTr="00E03213">
        <w:tc>
          <w:tcPr>
            <w:tcW w:w="3116" w:type="dxa"/>
          </w:tcPr>
          <w:p w14:paraId="709999AC" w14:textId="378C1A02" w:rsidR="007A454C" w:rsidRDefault="007A454C" w:rsidP="00E03213">
            <w:pPr>
              <w:rPr>
                <w:rFonts w:ascii="Open Sans" w:hAnsi="Open Sans" w:cs="Open Sans"/>
                <w:color w:val="44546A" w:themeColor="text2"/>
                <w:sz w:val="24"/>
                <w:szCs w:val="24"/>
              </w:rPr>
            </w:pPr>
            <w:r>
              <w:rPr>
                <w:rFonts w:ascii="Open Sans" w:hAnsi="Open Sans" w:cs="Open Sans"/>
                <w:color w:val="44546A" w:themeColor="text2"/>
                <w:sz w:val="24"/>
                <w:szCs w:val="24"/>
              </w:rPr>
              <w:t>Other</w:t>
            </w:r>
          </w:p>
        </w:tc>
        <w:tc>
          <w:tcPr>
            <w:tcW w:w="3117" w:type="dxa"/>
          </w:tcPr>
          <w:p w14:paraId="4FA96188" w14:textId="14CE8217" w:rsidR="007A454C" w:rsidRDefault="007A454C" w:rsidP="00E03213">
            <w:pPr>
              <w:rPr>
                <w:rFonts w:ascii="Open Sans" w:hAnsi="Open Sans" w:cs="Open Sans"/>
                <w:color w:val="44546A" w:themeColor="text2"/>
                <w:sz w:val="24"/>
                <w:szCs w:val="24"/>
              </w:rPr>
            </w:pPr>
            <w:r>
              <w:rPr>
                <w:rFonts w:ascii="Open Sans" w:hAnsi="Open Sans" w:cs="Open Sans"/>
                <w:color w:val="44546A" w:themeColor="text2"/>
                <w:sz w:val="24"/>
                <w:szCs w:val="24"/>
              </w:rPr>
              <w:t>0</w:t>
            </w:r>
          </w:p>
        </w:tc>
        <w:tc>
          <w:tcPr>
            <w:tcW w:w="3117" w:type="dxa"/>
          </w:tcPr>
          <w:p w14:paraId="300F7699" w14:textId="744C4820" w:rsidR="007A454C" w:rsidRDefault="007A454C" w:rsidP="00E03213">
            <w:pPr>
              <w:rPr>
                <w:rFonts w:ascii="Open Sans" w:hAnsi="Open Sans" w:cs="Open Sans"/>
                <w:color w:val="44546A" w:themeColor="text2"/>
                <w:sz w:val="24"/>
                <w:szCs w:val="24"/>
              </w:rPr>
            </w:pPr>
            <w:r>
              <w:rPr>
                <w:rFonts w:ascii="Open Sans" w:hAnsi="Open Sans" w:cs="Open Sans"/>
                <w:color w:val="44546A" w:themeColor="text2"/>
                <w:sz w:val="24"/>
                <w:szCs w:val="24"/>
              </w:rPr>
              <w:t>Other</w:t>
            </w:r>
          </w:p>
        </w:tc>
      </w:tr>
    </w:tbl>
    <w:p w14:paraId="0E00A206" w14:textId="77777777" w:rsidR="007A454C" w:rsidRPr="007A454C" w:rsidRDefault="007A454C" w:rsidP="007A454C">
      <w:pPr>
        <w:rPr>
          <w:rFonts w:ascii="Open Sans" w:hAnsi="Open Sans" w:cs="Open Sans"/>
          <w:color w:val="44546A" w:themeColor="text2"/>
          <w:sz w:val="24"/>
          <w:szCs w:val="24"/>
        </w:rPr>
      </w:pPr>
    </w:p>
    <w:tbl>
      <w:tblPr>
        <w:tblStyle w:val="TableGrid"/>
        <w:tblW w:w="0" w:type="auto"/>
        <w:tblLook w:val="04A0" w:firstRow="1" w:lastRow="0" w:firstColumn="1" w:lastColumn="0" w:noHBand="0" w:noVBand="1"/>
      </w:tblPr>
      <w:tblGrid>
        <w:gridCol w:w="4675"/>
        <w:gridCol w:w="4675"/>
      </w:tblGrid>
      <w:tr w:rsidR="00915685" w14:paraId="0AE2CEFF" w14:textId="77777777" w:rsidTr="00CE1652">
        <w:tc>
          <w:tcPr>
            <w:tcW w:w="9350" w:type="dxa"/>
            <w:gridSpan w:val="2"/>
          </w:tcPr>
          <w:p w14:paraId="7311BF3F" w14:textId="6B1A08DD"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One-Year Goals for the Number of Households Supported Through:</w:t>
            </w:r>
          </w:p>
        </w:tc>
      </w:tr>
      <w:tr w:rsidR="00915685" w14:paraId="33437427" w14:textId="77777777" w:rsidTr="00915685">
        <w:tc>
          <w:tcPr>
            <w:tcW w:w="4675" w:type="dxa"/>
          </w:tcPr>
          <w:p w14:paraId="3A2BD0E6" w14:textId="5717378E"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Rental Assistance</w:t>
            </w:r>
          </w:p>
        </w:tc>
        <w:tc>
          <w:tcPr>
            <w:tcW w:w="4675" w:type="dxa"/>
          </w:tcPr>
          <w:p w14:paraId="3DF9CD3D" w14:textId="30BB2E1C"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0</w:t>
            </w:r>
          </w:p>
        </w:tc>
      </w:tr>
      <w:tr w:rsidR="00915685" w14:paraId="2322A6E6" w14:textId="77777777" w:rsidTr="00915685">
        <w:tc>
          <w:tcPr>
            <w:tcW w:w="4675" w:type="dxa"/>
          </w:tcPr>
          <w:p w14:paraId="3DCBD196" w14:textId="2ADC3F93"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The Production of New Units</w:t>
            </w:r>
          </w:p>
        </w:tc>
        <w:tc>
          <w:tcPr>
            <w:tcW w:w="4675" w:type="dxa"/>
          </w:tcPr>
          <w:p w14:paraId="4F344407" w14:textId="5E7FBA46"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0</w:t>
            </w:r>
          </w:p>
        </w:tc>
      </w:tr>
      <w:tr w:rsidR="00915685" w14:paraId="0C052161" w14:textId="77777777" w:rsidTr="00915685">
        <w:tc>
          <w:tcPr>
            <w:tcW w:w="4675" w:type="dxa"/>
          </w:tcPr>
          <w:p w14:paraId="03697DAE" w14:textId="15DF8AF4"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Rehab of Existing Units</w:t>
            </w:r>
          </w:p>
        </w:tc>
        <w:tc>
          <w:tcPr>
            <w:tcW w:w="4675" w:type="dxa"/>
          </w:tcPr>
          <w:p w14:paraId="01073190" w14:textId="3BE281B1"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0</w:t>
            </w:r>
          </w:p>
        </w:tc>
      </w:tr>
      <w:tr w:rsidR="00915685" w14:paraId="50D051CC" w14:textId="77777777" w:rsidTr="00915685">
        <w:tc>
          <w:tcPr>
            <w:tcW w:w="4675" w:type="dxa"/>
          </w:tcPr>
          <w:p w14:paraId="3BDE4554" w14:textId="493851C3"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Acquisition of Existing Units</w:t>
            </w:r>
          </w:p>
        </w:tc>
        <w:tc>
          <w:tcPr>
            <w:tcW w:w="4675" w:type="dxa"/>
          </w:tcPr>
          <w:p w14:paraId="59168A9B" w14:textId="10A570B2"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0</w:t>
            </w:r>
          </w:p>
        </w:tc>
      </w:tr>
      <w:tr w:rsidR="00915685" w14:paraId="3EDD952A" w14:textId="77777777" w:rsidTr="00915685">
        <w:tc>
          <w:tcPr>
            <w:tcW w:w="4675" w:type="dxa"/>
          </w:tcPr>
          <w:p w14:paraId="62DED1C1" w14:textId="36B6ABCE"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Total</w:t>
            </w:r>
          </w:p>
        </w:tc>
        <w:tc>
          <w:tcPr>
            <w:tcW w:w="4675" w:type="dxa"/>
          </w:tcPr>
          <w:p w14:paraId="1921C05E" w14:textId="18E9C159" w:rsidR="00915685" w:rsidRDefault="00915685" w:rsidP="00BF00AF">
            <w:pPr>
              <w:rPr>
                <w:rFonts w:ascii="Open Sans" w:hAnsi="Open Sans" w:cs="Open Sans"/>
                <w:color w:val="44546A" w:themeColor="text2"/>
                <w:sz w:val="24"/>
                <w:szCs w:val="24"/>
              </w:rPr>
            </w:pPr>
            <w:r>
              <w:rPr>
                <w:rFonts w:ascii="Open Sans" w:hAnsi="Open Sans" w:cs="Open Sans"/>
                <w:color w:val="44546A" w:themeColor="text2"/>
                <w:sz w:val="24"/>
                <w:szCs w:val="24"/>
              </w:rPr>
              <w:t>0</w:t>
            </w:r>
          </w:p>
        </w:tc>
      </w:tr>
    </w:tbl>
    <w:p w14:paraId="58883B44" w14:textId="2116EB8C" w:rsidR="00BF00AF" w:rsidRDefault="00BF00AF" w:rsidP="00BF00AF">
      <w:pPr>
        <w:rPr>
          <w:rFonts w:ascii="Open Sans" w:hAnsi="Open Sans" w:cs="Open Sans"/>
          <w:color w:val="44546A" w:themeColor="text2"/>
          <w:sz w:val="24"/>
          <w:szCs w:val="24"/>
        </w:rPr>
      </w:pPr>
    </w:p>
    <w:p w14:paraId="07571BBA" w14:textId="49E4A3BC" w:rsidR="00915685" w:rsidRDefault="00915685">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636A332C" w14:textId="790027A7" w:rsidR="00915685" w:rsidRDefault="00915685" w:rsidP="00F005CA">
      <w:pPr>
        <w:pStyle w:val="Heading1"/>
        <w:rPr>
          <w:rFonts w:ascii="Open Sans ExtraBold" w:hAnsi="Open Sans ExtraBold" w:cs="Open Sans ExtraBold"/>
          <w:color w:val="44546A" w:themeColor="text2"/>
          <w:sz w:val="28"/>
          <w:szCs w:val="28"/>
        </w:rPr>
      </w:pPr>
      <w:bookmarkStart w:id="7" w:name="_Toc85453907"/>
      <w:r>
        <w:rPr>
          <w:rFonts w:ascii="Open Sans ExtraBold" w:hAnsi="Open Sans ExtraBold" w:cs="Open Sans ExtraBold"/>
          <w:color w:val="44546A" w:themeColor="text2"/>
          <w:sz w:val="28"/>
          <w:szCs w:val="28"/>
        </w:rPr>
        <w:lastRenderedPageBreak/>
        <w:t>ALLOCATION PRIORITIES</w:t>
      </w:r>
      <w:bookmarkEnd w:id="7"/>
    </w:p>
    <w:p w14:paraId="424E6873" w14:textId="7F8032D3" w:rsidR="00915685" w:rsidRP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 xml:space="preserve">CDBG funds are distributed through a competitive process and Mountainland is unable to predict the ultimate geographic distribution of these funds. However, we </w:t>
      </w:r>
      <w:proofErr w:type="gramStart"/>
      <w:r w:rsidRPr="00915685">
        <w:rPr>
          <w:rFonts w:ascii="Open Sans" w:hAnsi="Open Sans" w:cs="Open Sans"/>
          <w:color w:val="44546A" w:themeColor="text2"/>
          <w:sz w:val="24"/>
          <w:szCs w:val="24"/>
        </w:rPr>
        <w:t>are able to</w:t>
      </w:r>
      <w:proofErr w:type="gramEnd"/>
      <w:r w:rsidRPr="00915685">
        <w:rPr>
          <w:rFonts w:ascii="Open Sans" w:hAnsi="Open Sans" w:cs="Open Sans"/>
          <w:color w:val="44546A" w:themeColor="text2"/>
          <w:sz w:val="24"/>
          <w:szCs w:val="24"/>
        </w:rPr>
        <w:t xml:space="preserve"> identify communities in need. A community “self-assessment” form was sent out to each of the 13 cities and towns in the two county regions. The responses were plotted on a table with each of the following type</w:t>
      </w:r>
      <w:r w:rsidR="00F95504">
        <w:rPr>
          <w:rFonts w:ascii="Open Sans" w:hAnsi="Open Sans" w:cs="Open Sans"/>
          <w:color w:val="44546A" w:themeColor="text2"/>
          <w:sz w:val="24"/>
          <w:szCs w:val="24"/>
        </w:rPr>
        <w:t>s</w:t>
      </w:r>
      <w:r w:rsidRPr="00915685">
        <w:rPr>
          <w:rFonts w:ascii="Open Sans" w:hAnsi="Open Sans" w:cs="Open Sans"/>
          <w:color w:val="44546A" w:themeColor="text2"/>
          <w:sz w:val="24"/>
          <w:szCs w:val="24"/>
        </w:rPr>
        <w:t xml:space="preserve"> of community need</w:t>
      </w:r>
      <w:r w:rsidR="00F95504">
        <w:rPr>
          <w:rFonts w:ascii="Open Sans" w:hAnsi="Open Sans" w:cs="Open Sans"/>
          <w:color w:val="44546A" w:themeColor="text2"/>
          <w:sz w:val="24"/>
          <w:szCs w:val="24"/>
        </w:rPr>
        <w:t>s</w:t>
      </w:r>
      <w:r w:rsidRPr="00915685">
        <w:rPr>
          <w:rFonts w:ascii="Open Sans" w:hAnsi="Open Sans" w:cs="Open Sans"/>
          <w:color w:val="44546A" w:themeColor="text2"/>
          <w:sz w:val="24"/>
          <w:szCs w:val="24"/>
        </w:rPr>
        <w:t xml:space="preserve"> identified:</w:t>
      </w:r>
    </w:p>
    <w:p w14:paraId="5509DA2B" w14:textId="1018B187"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Fire Department</w:t>
      </w:r>
    </w:p>
    <w:p w14:paraId="76038E04" w14:textId="56BC07E1"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Fire Department Equipment</w:t>
      </w:r>
    </w:p>
    <w:p w14:paraId="016C2CF6" w14:textId="5F8FE56E"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Fire Department Staffing/Volunteers</w:t>
      </w:r>
    </w:p>
    <w:p w14:paraId="2E05966F" w14:textId="1766486A"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Police/Public Safety Facilities</w:t>
      </w:r>
    </w:p>
    <w:p w14:paraId="2768FB97" w14:textId="1473EF9E"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Police/Public Safety Staffing</w:t>
      </w:r>
    </w:p>
    <w:p w14:paraId="018897FA" w14:textId="03313B75"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Recreational Facilities</w:t>
      </w:r>
    </w:p>
    <w:p w14:paraId="703B11EB" w14:textId="78C59E47"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Community Sewer System</w:t>
      </w:r>
    </w:p>
    <w:p w14:paraId="252B607E" w14:textId="60ABC89C"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Culinary Water System Source</w:t>
      </w:r>
    </w:p>
    <w:p w14:paraId="0C218FA1" w14:textId="7BAA18CA"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Culinary Water System Storage</w:t>
      </w:r>
    </w:p>
    <w:p w14:paraId="7E8FBC65" w14:textId="6A72840A"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Culinary Water System Distribution</w:t>
      </w:r>
    </w:p>
    <w:p w14:paraId="6B3B75A3" w14:textId="27A7635E"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Streets and Roads</w:t>
      </w:r>
    </w:p>
    <w:p w14:paraId="631CCD4C" w14:textId="7A2D628F"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Solid Waste Disposal</w:t>
      </w:r>
    </w:p>
    <w:p w14:paraId="62FCC9C7" w14:textId="3C522814"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Health Care</w:t>
      </w:r>
    </w:p>
    <w:p w14:paraId="16D5CA16" w14:textId="6C741B2E"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Animal Control</w:t>
      </w:r>
    </w:p>
    <w:p w14:paraId="22B66BF6" w14:textId="5F3CE637"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Courts</w:t>
      </w:r>
    </w:p>
    <w:p w14:paraId="4B587829" w14:textId="10214E47"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Jails</w:t>
      </w:r>
    </w:p>
    <w:p w14:paraId="1C0694CA" w14:textId="06704C18"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Senior Center</w:t>
      </w:r>
    </w:p>
    <w:p w14:paraId="4386BF55" w14:textId="0B451A8E" w:rsidR="00915685" w:rsidRPr="00915685" w:rsidRDefault="00915685" w:rsidP="00915685">
      <w:pPr>
        <w:pStyle w:val="ListParagraph"/>
        <w:numPr>
          <w:ilvl w:val="0"/>
          <w:numId w:val="7"/>
        </w:numPr>
        <w:rPr>
          <w:rFonts w:ascii="Open Sans" w:hAnsi="Open Sans" w:cs="Open Sans"/>
          <w:color w:val="44546A" w:themeColor="text2"/>
          <w:sz w:val="24"/>
          <w:szCs w:val="24"/>
        </w:rPr>
      </w:pPr>
      <w:r w:rsidRPr="00915685">
        <w:rPr>
          <w:rFonts w:ascii="Open Sans" w:hAnsi="Open Sans" w:cs="Open Sans"/>
          <w:color w:val="44546A" w:themeColor="text2"/>
          <w:sz w:val="24"/>
          <w:szCs w:val="24"/>
        </w:rPr>
        <w:t>Services to assist Homeless</w:t>
      </w:r>
    </w:p>
    <w:p w14:paraId="2366F154" w14:textId="77777777" w:rsidR="00915685" w:rsidRPr="00915685" w:rsidRDefault="00915685" w:rsidP="00915685">
      <w:pPr>
        <w:rPr>
          <w:rFonts w:ascii="Open Sans" w:hAnsi="Open Sans" w:cs="Open Sans"/>
          <w:color w:val="44546A" w:themeColor="text2"/>
          <w:sz w:val="24"/>
          <w:szCs w:val="24"/>
        </w:rPr>
      </w:pPr>
    </w:p>
    <w:p w14:paraId="3F44E800" w14:textId="71836EF1" w:rsidR="00915685" w:rsidRP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Each community was asked to assess the level in which those items listed above are addressed in their community on a scale o</w:t>
      </w:r>
      <w:r w:rsidR="00F95504">
        <w:rPr>
          <w:rFonts w:ascii="Open Sans" w:hAnsi="Open Sans" w:cs="Open Sans"/>
          <w:color w:val="44546A" w:themeColor="text2"/>
          <w:sz w:val="24"/>
          <w:szCs w:val="24"/>
        </w:rPr>
        <w:t>f</w:t>
      </w:r>
      <w:r w:rsidRPr="00915685">
        <w:rPr>
          <w:rFonts w:ascii="Open Sans" w:hAnsi="Open Sans" w:cs="Open Sans"/>
          <w:color w:val="44546A" w:themeColor="text2"/>
          <w:sz w:val="24"/>
          <w:szCs w:val="24"/>
        </w:rPr>
        <w:t xml:space="preserve"> 1-10, with one meaning that the item is completely inadequate to ten meaning the issue is extremely well addressed. We did not differentiate between a service provided by another entity, </w:t>
      </w:r>
      <w:r w:rsidR="00F95504" w:rsidRPr="00915685">
        <w:rPr>
          <w:rFonts w:ascii="Open Sans" w:hAnsi="Open Sans" w:cs="Open Sans"/>
          <w:color w:val="44546A" w:themeColor="text2"/>
          <w:sz w:val="24"/>
          <w:szCs w:val="24"/>
        </w:rPr>
        <w:t>i.e.,</w:t>
      </w:r>
      <w:r w:rsidRPr="00915685">
        <w:rPr>
          <w:rFonts w:ascii="Open Sans" w:hAnsi="Open Sans" w:cs="Open Sans"/>
          <w:color w:val="44546A" w:themeColor="text2"/>
          <w:sz w:val="24"/>
          <w:szCs w:val="24"/>
        </w:rPr>
        <w:t xml:space="preserve"> the county providing jail service in the area. The local cities were asked to simply identify how those services, regardless of who provides them, are addressing the services in the community.</w:t>
      </w:r>
    </w:p>
    <w:p w14:paraId="51852296" w14:textId="77777777" w:rsidR="00915685" w:rsidRP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lastRenderedPageBreak/>
        <w:t>Basic infrastructure remains the primary focus of regional investment of funding. Water and sewer projects are the two highest priorities. All other priorities revolve around infrastructure needs.</w:t>
      </w:r>
    </w:p>
    <w:p w14:paraId="7B8CC57B" w14:textId="77777777" w:rsidR="00915685" w:rsidRP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The Community Development Block Grant program has many options in which low to moderate income persons can receive job skills training or other training that can help them live a sustainable lifestyle.  Projects that promote job training or skills training receive additional points in the rating and ranking criteria.</w:t>
      </w:r>
    </w:p>
    <w:p w14:paraId="6280FC96" w14:textId="77777777" w:rsidR="00915685" w:rsidRP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 xml:space="preserve">Although Community Development Block Grant funds are an appropriate source for housing project support, these funds are very limited and are shared across </w:t>
      </w:r>
      <w:proofErr w:type="gramStart"/>
      <w:r w:rsidRPr="00915685">
        <w:rPr>
          <w:rFonts w:ascii="Open Sans" w:hAnsi="Open Sans" w:cs="Open Sans"/>
          <w:color w:val="44546A" w:themeColor="text2"/>
          <w:sz w:val="24"/>
          <w:szCs w:val="24"/>
        </w:rPr>
        <w:t>a number of</w:t>
      </w:r>
      <w:proofErr w:type="gramEnd"/>
      <w:r w:rsidRPr="00915685">
        <w:rPr>
          <w:rFonts w:ascii="Open Sans" w:hAnsi="Open Sans" w:cs="Open Sans"/>
          <w:color w:val="44546A" w:themeColor="text2"/>
          <w:sz w:val="24"/>
          <w:szCs w:val="24"/>
        </w:rPr>
        <w:t xml:space="preserve"> jurisdictions.  Housing projects also face competition from various other infrastructure and public service needs that also are pressing.  Mountainland Association of Governments is </w:t>
      </w:r>
      <w:proofErr w:type="gramStart"/>
      <w:r w:rsidRPr="00915685">
        <w:rPr>
          <w:rFonts w:ascii="Open Sans" w:hAnsi="Open Sans" w:cs="Open Sans"/>
          <w:color w:val="44546A" w:themeColor="text2"/>
          <w:sz w:val="24"/>
          <w:szCs w:val="24"/>
        </w:rPr>
        <w:t>in a position</w:t>
      </w:r>
      <w:proofErr w:type="gramEnd"/>
      <w:r w:rsidRPr="00915685">
        <w:rPr>
          <w:rFonts w:ascii="Open Sans" w:hAnsi="Open Sans" w:cs="Open Sans"/>
          <w:color w:val="44546A" w:themeColor="text2"/>
          <w:sz w:val="24"/>
          <w:szCs w:val="24"/>
        </w:rPr>
        <w:t xml:space="preserve"> to facilitate discussions, to identify methods and resources, and to provide data and plans, but is not a legislative body that can implement any specific policies or projects.  In addition, it is noted that there is not a “one-size-fits-all” strategy to addressing the issue of affordable housing.  </w:t>
      </w:r>
    </w:p>
    <w:p w14:paraId="15FE25F6" w14:textId="520D6C9C" w:rsid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If a project is funded with CDBG dollars and it will result in the displacement of a household from their residence, it will be required to find another residence for the household. The Utah Small Cities Program will generally not fund projects that will displace a household</w:t>
      </w:r>
    </w:p>
    <w:p w14:paraId="680C777C" w14:textId="4150AF95" w:rsidR="00915685" w:rsidRDefault="00915685">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4F6CB14F" w14:textId="4D716381" w:rsidR="00915685" w:rsidRDefault="00915685" w:rsidP="00F005CA">
      <w:pPr>
        <w:pStyle w:val="Heading1"/>
        <w:rPr>
          <w:rFonts w:ascii="Open Sans ExtraBold" w:hAnsi="Open Sans ExtraBold" w:cs="Open Sans ExtraBold"/>
          <w:color w:val="44546A" w:themeColor="text2"/>
          <w:sz w:val="28"/>
          <w:szCs w:val="28"/>
        </w:rPr>
      </w:pPr>
      <w:bookmarkStart w:id="8" w:name="_Toc85453908"/>
      <w:r>
        <w:rPr>
          <w:rFonts w:ascii="Open Sans ExtraBold" w:hAnsi="Open Sans ExtraBold" w:cs="Open Sans ExtraBold"/>
          <w:color w:val="44546A" w:themeColor="text2"/>
          <w:sz w:val="28"/>
          <w:szCs w:val="28"/>
        </w:rPr>
        <w:lastRenderedPageBreak/>
        <w:t>PUBLIC HOUSING</w:t>
      </w:r>
      <w:bookmarkEnd w:id="8"/>
    </w:p>
    <w:p w14:paraId="1203215C" w14:textId="33A0A57D" w:rsidR="00915685" w:rsidRDefault="00915685" w:rsidP="00915685">
      <w:pPr>
        <w:rPr>
          <w:rFonts w:ascii="Open Sans" w:hAnsi="Open Sans" w:cs="Open Sans"/>
          <w:color w:val="44546A" w:themeColor="text2"/>
          <w:sz w:val="24"/>
          <w:szCs w:val="24"/>
        </w:rPr>
      </w:pPr>
      <w:r>
        <w:rPr>
          <w:rFonts w:ascii="Open Sans" w:hAnsi="Open Sans" w:cs="Open Sans"/>
          <w:color w:val="44546A" w:themeColor="text2"/>
          <w:sz w:val="24"/>
          <w:szCs w:val="24"/>
        </w:rPr>
        <w:t xml:space="preserve">There are no Public Housing Agencies in Summit and Wasatch Counties. </w:t>
      </w:r>
    </w:p>
    <w:p w14:paraId="34F97444" w14:textId="77777777" w:rsidR="00915685" w:rsidRDefault="00915685">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6CAFE993" w14:textId="75BD6350" w:rsidR="00915685" w:rsidRDefault="00915685" w:rsidP="00F005CA">
      <w:pPr>
        <w:pStyle w:val="Heading1"/>
        <w:rPr>
          <w:rFonts w:ascii="Open Sans ExtraBold" w:hAnsi="Open Sans ExtraBold" w:cs="Open Sans ExtraBold"/>
          <w:color w:val="44546A" w:themeColor="text2"/>
          <w:sz w:val="28"/>
          <w:szCs w:val="28"/>
        </w:rPr>
      </w:pPr>
      <w:bookmarkStart w:id="9" w:name="_Toc85453909"/>
      <w:r>
        <w:rPr>
          <w:rFonts w:ascii="Open Sans ExtraBold" w:hAnsi="Open Sans ExtraBold" w:cs="Open Sans ExtraBold"/>
          <w:color w:val="44546A" w:themeColor="text2"/>
          <w:sz w:val="28"/>
          <w:szCs w:val="28"/>
        </w:rPr>
        <w:lastRenderedPageBreak/>
        <w:t>BARRIERS TO AFFORDABLE HOUSING</w:t>
      </w:r>
      <w:bookmarkEnd w:id="9"/>
    </w:p>
    <w:p w14:paraId="7D97E893" w14:textId="4922881C" w:rsid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In February 2019, the state of Utah passed Senate Bill (SB)34, which requires cities and counties to take state-approved steps aimed at encouraging affordable housing to be eligible to receive funds from the Utah Department of Transportation. To receive state transportation funds, cities and counties are required to adopt 3 or more strategies from a menu of 23 strategies that "allow people with various incomes to benefit from and participate in all aspects of neighborhood and community life" by December 2019</w:t>
      </w:r>
      <w:r>
        <w:rPr>
          <w:rFonts w:ascii="Open Sans" w:hAnsi="Open Sans" w:cs="Open Sans"/>
          <w:color w:val="44546A" w:themeColor="text2"/>
          <w:sz w:val="24"/>
          <w:szCs w:val="24"/>
        </w:rPr>
        <w:t>.</w:t>
      </w:r>
    </w:p>
    <w:p w14:paraId="4CCC6553" w14:textId="5858021C" w:rsidR="00915685" w:rsidRDefault="00915685">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4355C7A9" w14:textId="1752F7C4" w:rsidR="00915685" w:rsidRDefault="00915685" w:rsidP="00F005CA">
      <w:pPr>
        <w:pStyle w:val="Heading1"/>
        <w:rPr>
          <w:rFonts w:ascii="Open Sans ExtraBold" w:hAnsi="Open Sans ExtraBold" w:cs="Open Sans ExtraBold"/>
          <w:color w:val="44546A" w:themeColor="text2"/>
          <w:sz w:val="28"/>
          <w:szCs w:val="28"/>
        </w:rPr>
      </w:pPr>
      <w:bookmarkStart w:id="10" w:name="_Toc85453910"/>
      <w:r>
        <w:rPr>
          <w:rFonts w:ascii="Open Sans ExtraBold" w:hAnsi="Open Sans ExtraBold" w:cs="Open Sans ExtraBold"/>
          <w:color w:val="44546A" w:themeColor="text2"/>
          <w:sz w:val="28"/>
          <w:szCs w:val="28"/>
        </w:rPr>
        <w:lastRenderedPageBreak/>
        <w:t>OTHER</w:t>
      </w:r>
      <w:bookmarkEnd w:id="10"/>
    </w:p>
    <w:p w14:paraId="64F7E5F4" w14:textId="5F3888C7" w:rsid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The CDBG funds in Summit and Wasatch are not used for housing projects that would trigger lead-based paint remediation.</w:t>
      </w:r>
    </w:p>
    <w:p w14:paraId="5D9F8526" w14:textId="1F44D813" w:rsidR="00915685" w:rsidRDefault="00915685" w:rsidP="00915685">
      <w:pPr>
        <w:rPr>
          <w:rFonts w:ascii="Open Sans" w:hAnsi="Open Sans" w:cs="Open Sans"/>
          <w:color w:val="44546A" w:themeColor="text2"/>
          <w:sz w:val="24"/>
          <w:szCs w:val="24"/>
        </w:rPr>
      </w:pPr>
      <w:r w:rsidRPr="00915685">
        <w:rPr>
          <w:rFonts w:ascii="Open Sans" w:hAnsi="Open Sans" w:cs="Open Sans"/>
          <w:color w:val="44546A" w:themeColor="text2"/>
          <w:sz w:val="24"/>
          <w:szCs w:val="24"/>
        </w:rPr>
        <w:t>The CDBG-CV funds in Summit and Wasatch Counties will be used to provide business grants to small businesses physically located in these counties, provide grants to purchase supplies to public service providers and the community to prevent, prepare for and respond to the spread of the COVID-19 pandemic.</w:t>
      </w:r>
    </w:p>
    <w:p w14:paraId="2F2207FA" w14:textId="6D93C0DD" w:rsidR="00915685" w:rsidRDefault="00915685" w:rsidP="00915685">
      <w:pPr>
        <w:rPr>
          <w:rFonts w:ascii="Open Sans" w:hAnsi="Open Sans" w:cs="Open Sans"/>
          <w:color w:val="44546A" w:themeColor="text2"/>
          <w:sz w:val="24"/>
          <w:szCs w:val="24"/>
        </w:rPr>
      </w:pPr>
      <w:r>
        <w:rPr>
          <w:rFonts w:ascii="Open Sans" w:hAnsi="Open Sans" w:cs="Open Sans"/>
          <w:color w:val="44546A" w:themeColor="text2"/>
          <w:sz w:val="24"/>
          <w:szCs w:val="24"/>
        </w:rPr>
        <w:t>All projects undergo an environmental review prior to project contracts with the State.</w:t>
      </w:r>
    </w:p>
    <w:p w14:paraId="585AD472" w14:textId="543DE94A" w:rsidR="00915685" w:rsidRDefault="00915685" w:rsidP="00915685">
      <w:pPr>
        <w:rPr>
          <w:rFonts w:ascii="Open Sans" w:hAnsi="Open Sans" w:cs="Open Sans"/>
          <w:color w:val="44546A" w:themeColor="text2"/>
          <w:sz w:val="24"/>
          <w:szCs w:val="24"/>
        </w:rPr>
      </w:pPr>
      <w:r>
        <w:rPr>
          <w:rFonts w:ascii="Open Sans" w:hAnsi="Open Sans" w:cs="Open Sans"/>
          <w:color w:val="44546A" w:themeColor="text2"/>
          <w:sz w:val="24"/>
          <w:szCs w:val="24"/>
        </w:rPr>
        <w:t>CDBG funds in Summit and Wasatch do not execute projects that could lead to displacement.</w:t>
      </w:r>
    </w:p>
    <w:p w14:paraId="662B8BD4" w14:textId="38E95552" w:rsidR="00915685" w:rsidRDefault="00915685">
      <w:pPr>
        <w:rPr>
          <w:rFonts w:ascii="Open Sans" w:hAnsi="Open Sans" w:cs="Open Sans"/>
          <w:color w:val="44546A" w:themeColor="text2"/>
          <w:sz w:val="24"/>
          <w:szCs w:val="24"/>
        </w:rPr>
      </w:pPr>
      <w:r>
        <w:rPr>
          <w:rFonts w:ascii="Open Sans" w:hAnsi="Open Sans" w:cs="Open Sans"/>
          <w:color w:val="44546A" w:themeColor="text2"/>
          <w:sz w:val="24"/>
          <w:szCs w:val="24"/>
        </w:rPr>
        <w:br w:type="page"/>
      </w:r>
    </w:p>
    <w:p w14:paraId="60CAA54A" w14:textId="77777777" w:rsidR="00915685" w:rsidRDefault="00915685" w:rsidP="00F005CA">
      <w:pPr>
        <w:pStyle w:val="Heading1"/>
      </w:pPr>
      <w:bookmarkStart w:id="11" w:name="_Toc534188967"/>
      <w:bookmarkStart w:id="12" w:name="_Toc85453911"/>
      <w:r>
        <w:lastRenderedPageBreak/>
        <w:t>Appendix 1</w:t>
      </w:r>
      <w:r>
        <w:tab/>
        <w:t>Consultation Form</w:t>
      </w:r>
      <w:bookmarkEnd w:id="11"/>
      <w:bookmarkEnd w:id="12"/>
    </w:p>
    <w:p w14:paraId="593404DD" w14:textId="77777777" w:rsidR="00915685" w:rsidRDefault="00915685" w:rsidP="00915685">
      <w:r w:rsidRPr="004A0E25">
        <w:rPr>
          <w:sz w:val="24"/>
        </w:rPr>
        <w:t>1.</w:t>
      </w:r>
      <w:r>
        <w:rPr>
          <w:sz w:val="24"/>
        </w:rPr>
        <w:t xml:space="preserve"> AOG</w:t>
      </w:r>
      <w:r>
        <w:t xml:space="preserve">:  __________________________________ Employee:  ____________________________ </w:t>
      </w:r>
    </w:p>
    <w:p w14:paraId="3BAB6B3A" w14:textId="77777777" w:rsidR="00915685" w:rsidRDefault="00915685" w:rsidP="00915685">
      <w:pPr>
        <w:rPr>
          <w:sz w:val="24"/>
        </w:rPr>
      </w:pPr>
      <w:r>
        <w:rPr>
          <w:sz w:val="24"/>
        </w:rPr>
        <w:t>2. Name of Agency Consulted:  _____________________Date of Consultation:  __________</w:t>
      </w:r>
    </w:p>
    <w:p w14:paraId="3A3D5AD9" w14:textId="77777777" w:rsidR="00915685" w:rsidRPr="00676550" w:rsidRDefault="00915685" w:rsidP="00915685">
      <w:pPr>
        <w:rPr>
          <w:sz w:val="10"/>
        </w:rPr>
      </w:pPr>
    </w:p>
    <w:p w14:paraId="5ED31B4F" w14:textId="77777777" w:rsidR="00915685" w:rsidRPr="00493748" w:rsidRDefault="00915685" w:rsidP="00915685">
      <w:pPr>
        <w:rPr>
          <w:sz w:val="24"/>
        </w:rPr>
      </w:pPr>
      <w:r>
        <w:rPr>
          <w:sz w:val="24"/>
        </w:rPr>
        <w:t xml:space="preserve">3. </w:t>
      </w:r>
      <w:r w:rsidRPr="00493748">
        <w:rPr>
          <w:sz w:val="24"/>
        </w:rPr>
        <w:t>Agency/Group/Organization Type (</w:t>
      </w:r>
      <w:r>
        <w:rPr>
          <w:b/>
          <w:sz w:val="24"/>
        </w:rPr>
        <w:t>Check</w:t>
      </w:r>
      <w:r w:rsidRPr="00493748">
        <w:rPr>
          <w:b/>
          <w:sz w:val="24"/>
        </w:rPr>
        <w:t xml:space="preserve"> all that apply</w:t>
      </w:r>
      <w:r w:rsidRPr="00493748">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060"/>
        <w:gridCol w:w="450"/>
        <w:gridCol w:w="2430"/>
        <w:gridCol w:w="450"/>
        <w:gridCol w:w="2398"/>
      </w:tblGrid>
      <w:tr w:rsidR="00915685" w14:paraId="48178A99" w14:textId="77777777" w:rsidTr="004A574C">
        <w:tc>
          <w:tcPr>
            <w:tcW w:w="378" w:type="dxa"/>
            <w:tcBorders>
              <w:bottom w:val="single" w:sz="4" w:space="0" w:color="auto"/>
            </w:tcBorders>
          </w:tcPr>
          <w:p w14:paraId="63CB95CA" w14:textId="77777777" w:rsidR="00915685" w:rsidRDefault="00915685" w:rsidP="004A574C"/>
        </w:tc>
        <w:tc>
          <w:tcPr>
            <w:tcW w:w="3060" w:type="dxa"/>
          </w:tcPr>
          <w:p w14:paraId="143E5C66" w14:textId="77777777" w:rsidR="00915685" w:rsidRPr="00964222" w:rsidRDefault="00915685" w:rsidP="004A574C">
            <w:pPr>
              <w:rPr>
                <w:b/>
              </w:rPr>
            </w:pPr>
            <w:r>
              <w:t>Housing</w:t>
            </w:r>
          </w:p>
        </w:tc>
        <w:tc>
          <w:tcPr>
            <w:tcW w:w="450" w:type="dxa"/>
            <w:tcBorders>
              <w:bottom w:val="single" w:sz="4" w:space="0" w:color="auto"/>
            </w:tcBorders>
          </w:tcPr>
          <w:p w14:paraId="376B6BC1" w14:textId="77777777" w:rsidR="00915685" w:rsidRDefault="00915685" w:rsidP="004A574C"/>
        </w:tc>
        <w:tc>
          <w:tcPr>
            <w:tcW w:w="2430" w:type="dxa"/>
          </w:tcPr>
          <w:p w14:paraId="2F119585" w14:textId="77777777" w:rsidR="00915685" w:rsidRDefault="00915685" w:rsidP="004A574C">
            <w:r>
              <w:t>Services-Children</w:t>
            </w:r>
          </w:p>
        </w:tc>
        <w:tc>
          <w:tcPr>
            <w:tcW w:w="450" w:type="dxa"/>
            <w:tcBorders>
              <w:bottom w:val="single" w:sz="4" w:space="0" w:color="auto"/>
            </w:tcBorders>
          </w:tcPr>
          <w:p w14:paraId="50A1D0F4" w14:textId="77777777" w:rsidR="00915685" w:rsidRDefault="00915685" w:rsidP="004A574C"/>
        </w:tc>
        <w:tc>
          <w:tcPr>
            <w:tcW w:w="2398" w:type="dxa"/>
          </w:tcPr>
          <w:p w14:paraId="6AD9FEF9" w14:textId="77777777" w:rsidR="00915685" w:rsidRDefault="00915685" w:rsidP="004A574C">
            <w:r>
              <w:t>Services-Education</w:t>
            </w:r>
          </w:p>
        </w:tc>
      </w:tr>
      <w:tr w:rsidR="00915685" w14:paraId="322B6FF6" w14:textId="77777777" w:rsidTr="004A574C">
        <w:tc>
          <w:tcPr>
            <w:tcW w:w="378" w:type="dxa"/>
            <w:tcBorders>
              <w:bottom w:val="single" w:sz="4" w:space="0" w:color="auto"/>
            </w:tcBorders>
          </w:tcPr>
          <w:p w14:paraId="4A2CD80A" w14:textId="77777777" w:rsidR="00915685" w:rsidRDefault="00915685" w:rsidP="004A574C"/>
        </w:tc>
        <w:tc>
          <w:tcPr>
            <w:tcW w:w="3060" w:type="dxa"/>
          </w:tcPr>
          <w:p w14:paraId="3568C3E9" w14:textId="77777777" w:rsidR="00915685" w:rsidRDefault="00915685" w:rsidP="004A574C">
            <w:r>
              <w:t>PHA</w:t>
            </w:r>
          </w:p>
        </w:tc>
        <w:tc>
          <w:tcPr>
            <w:tcW w:w="450" w:type="dxa"/>
            <w:tcBorders>
              <w:top w:val="single" w:sz="4" w:space="0" w:color="auto"/>
              <w:bottom w:val="single" w:sz="4" w:space="0" w:color="auto"/>
            </w:tcBorders>
          </w:tcPr>
          <w:p w14:paraId="0F30980A" w14:textId="77777777" w:rsidR="00915685" w:rsidRDefault="00915685" w:rsidP="004A574C"/>
        </w:tc>
        <w:tc>
          <w:tcPr>
            <w:tcW w:w="2430" w:type="dxa"/>
          </w:tcPr>
          <w:p w14:paraId="56457BAB" w14:textId="77777777" w:rsidR="00915685" w:rsidRDefault="00915685" w:rsidP="004A574C">
            <w:r>
              <w:t>Services-Elderly Persons</w:t>
            </w:r>
          </w:p>
        </w:tc>
        <w:tc>
          <w:tcPr>
            <w:tcW w:w="450" w:type="dxa"/>
            <w:tcBorders>
              <w:bottom w:val="single" w:sz="4" w:space="0" w:color="auto"/>
            </w:tcBorders>
          </w:tcPr>
          <w:p w14:paraId="42A62643" w14:textId="77777777" w:rsidR="00915685" w:rsidRDefault="00915685" w:rsidP="004A574C"/>
        </w:tc>
        <w:tc>
          <w:tcPr>
            <w:tcW w:w="2398" w:type="dxa"/>
          </w:tcPr>
          <w:p w14:paraId="7B16BBB1" w14:textId="77777777" w:rsidR="00915685" w:rsidRDefault="00915685" w:rsidP="004A574C">
            <w:r>
              <w:t>Services-Employment</w:t>
            </w:r>
          </w:p>
        </w:tc>
      </w:tr>
      <w:tr w:rsidR="00915685" w14:paraId="12D063D6" w14:textId="77777777" w:rsidTr="004A574C">
        <w:tc>
          <w:tcPr>
            <w:tcW w:w="378" w:type="dxa"/>
            <w:tcBorders>
              <w:bottom w:val="single" w:sz="4" w:space="0" w:color="auto"/>
            </w:tcBorders>
          </w:tcPr>
          <w:p w14:paraId="4772F12E" w14:textId="77777777" w:rsidR="00915685" w:rsidRDefault="00915685" w:rsidP="004A574C"/>
        </w:tc>
        <w:tc>
          <w:tcPr>
            <w:tcW w:w="3060" w:type="dxa"/>
          </w:tcPr>
          <w:p w14:paraId="1F9B501F" w14:textId="77777777" w:rsidR="00915685" w:rsidRDefault="00915685" w:rsidP="004A574C">
            <w:r>
              <w:t>Services-Persons with Disabilities</w:t>
            </w:r>
          </w:p>
        </w:tc>
        <w:tc>
          <w:tcPr>
            <w:tcW w:w="450" w:type="dxa"/>
            <w:tcBorders>
              <w:top w:val="single" w:sz="4" w:space="0" w:color="auto"/>
              <w:bottom w:val="single" w:sz="4" w:space="0" w:color="auto"/>
            </w:tcBorders>
          </w:tcPr>
          <w:p w14:paraId="245D8A02" w14:textId="77777777" w:rsidR="00915685" w:rsidRDefault="00915685" w:rsidP="004A574C"/>
        </w:tc>
        <w:tc>
          <w:tcPr>
            <w:tcW w:w="2430" w:type="dxa"/>
          </w:tcPr>
          <w:p w14:paraId="338432EA" w14:textId="77777777" w:rsidR="00915685" w:rsidRDefault="00915685" w:rsidP="004A574C">
            <w:r>
              <w:t>Services-Persons with HIV/AIDS</w:t>
            </w:r>
          </w:p>
        </w:tc>
        <w:tc>
          <w:tcPr>
            <w:tcW w:w="450" w:type="dxa"/>
            <w:tcBorders>
              <w:bottom w:val="single" w:sz="4" w:space="0" w:color="auto"/>
            </w:tcBorders>
          </w:tcPr>
          <w:p w14:paraId="71A1F9B8" w14:textId="77777777" w:rsidR="00915685" w:rsidRDefault="00915685" w:rsidP="004A574C"/>
        </w:tc>
        <w:tc>
          <w:tcPr>
            <w:tcW w:w="2398" w:type="dxa"/>
          </w:tcPr>
          <w:p w14:paraId="6DF60951" w14:textId="77777777" w:rsidR="00915685" w:rsidRDefault="00915685" w:rsidP="004A574C">
            <w:r>
              <w:t>Services-Victims of Domestic Violence</w:t>
            </w:r>
          </w:p>
        </w:tc>
      </w:tr>
      <w:tr w:rsidR="00915685" w14:paraId="05FBF6B1" w14:textId="77777777" w:rsidTr="004A574C">
        <w:tc>
          <w:tcPr>
            <w:tcW w:w="378" w:type="dxa"/>
            <w:tcBorders>
              <w:bottom w:val="single" w:sz="4" w:space="0" w:color="auto"/>
            </w:tcBorders>
          </w:tcPr>
          <w:p w14:paraId="5F92C283" w14:textId="77777777" w:rsidR="00915685" w:rsidRDefault="00915685" w:rsidP="004A574C"/>
        </w:tc>
        <w:tc>
          <w:tcPr>
            <w:tcW w:w="3060" w:type="dxa"/>
          </w:tcPr>
          <w:p w14:paraId="1C3CF728" w14:textId="77777777" w:rsidR="00915685" w:rsidRDefault="00915685" w:rsidP="004A574C">
            <w:r>
              <w:t>Services-Homeless</w:t>
            </w:r>
          </w:p>
        </w:tc>
        <w:tc>
          <w:tcPr>
            <w:tcW w:w="450" w:type="dxa"/>
            <w:tcBorders>
              <w:top w:val="single" w:sz="4" w:space="0" w:color="auto"/>
              <w:bottom w:val="single" w:sz="4" w:space="0" w:color="auto"/>
            </w:tcBorders>
          </w:tcPr>
          <w:p w14:paraId="69E26BA8" w14:textId="77777777" w:rsidR="00915685" w:rsidRDefault="00915685" w:rsidP="004A574C"/>
        </w:tc>
        <w:tc>
          <w:tcPr>
            <w:tcW w:w="2430" w:type="dxa"/>
          </w:tcPr>
          <w:p w14:paraId="2E48F9BA" w14:textId="77777777" w:rsidR="00915685" w:rsidRDefault="00915685" w:rsidP="004A574C">
            <w:r>
              <w:t>Services-Health</w:t>
            </w:r>
          </w:p>
        </w:tc>
        <w:tc>
          <w:tcPr>
            <w:tcW w:w="450" w:type="dxa"/>
            <w:tcBorders>
              <w:bottom w:val="single" w:sz="4" w:space="0" w:color="auto"/>
            </w:tcBorders>
          </w:tcPr>
          <w:p w14:paraId="40A12B6A" w14:textId="77777777" w:rsidR="00915685" w:rsidRDefault="00915685" w:rsidP="004A574C"/>
        </w:tc>
        <w:tc>
          <w:tcPr>
            <w:tcW w:w="2398" w:type="dxa"/>
          </w:tcPr>
          <w:p w14:paraId="020B48FE" w14:textId="77777777" w:rsidR="00915685" w:rsidRDefault="00915685" w:rsidP="004A574C">
            <w:r>
              <w:t>Services-Fair Housing</w:t>
            </w:r>
          </w:p>
        </w:tc>
      </w:tr>
      <w:tr w:rsidR="00915685" w14:paraId="341E909A" w14:textId="77777777" w:rsidTr="004A574C">
        <w:tc>
          <w:tcPr>
            <w:tcW w:w="378" w:type="dxa"/>
            <w:tcBorders>
              <w:bottom w:val="single" w:sz="4" w:space="0" w:color="auto"/>
            </w:tcBorders>
          </w:tcPr>
          <w:p w14:paraId="2E33A38B" w14:textId="77777777" w:rsidR="00915685" w:rsidRDefault="00915685" w:rsidP="004A574C"/>
        </w:tc>
        <w:tc>
          <w:tcPr>
            <w:tcW w:w="3060" w:type="dxa"/>
          </w:tcPr>
          <w:p w14:paraId="0E15E1A8" w14:textId="77777777" w:rsidR="00915685" w:rsidRDefault="00915685" w:rsidP="004A574C">
            <w:r>
              <w:t>Health Agency</w:t>
            </w:r>
          </w:p>
        </w:tc>
        <w:tc>
          <w:tcPr>
            <w:tcW w:w="450" w:type="dxa"/>
            <w:tcBorders>
              <w:top w:val="single" w:sz="4" w:space="0" w:color="auto"/>
              <w:bottom w:val="single" w:sz="4" w:space="0" w:color="auto"/>
            </w:tcBorders>
          </w:tcPr>
          <w:p w14:paraId="787EB046" w14:textId="77777777" w:rsidR="00915685" w:rsidRDefault="00915685" w:rsidP="004A574C"/>
        </w:tc>
        <w:tc>
          <w:tcPr>
            <w:tcW w:w="2430" w:type="dxa"/>
          </w:tcPr>
          <w:p w14:paraId="2F3D6581" w14:textId="77777777" w:rsidR="00915685" w:rsidRDefault="00915685" w:rsidP="004A574C">
            <w:r>
              <w:t>Child Welfare Agency</w:t>
            </w:r>
          </w:p>
        </w:tc>
        <w:tc>
          <w:tcPr>
            <w:tcW w:w="450" w:type="dxa"/>
            <w:tcBorders>
              <w:bottom w:val="single" w:sz="4" w:space="0" w:color="auto"/>
            </w:tcBorders>
          </w:tcPr>
          <w:p w14:paraId="616BCFAA" w14:textId="77777777" w:rsidR="00915685" w:rsidRDefault="00915685" w:rsidP="004A574C"/>
        </w:tc>
        <w:tc>
          <w:tcPr>
            <w:tcW w:w="2398" w:type="dxa"/>
          </w:tcPr>
          <w:p w14:paraId="000AA9BE" w14:textId="77777777" w:rsidR="00915685" w:rsidRDefault="00915685" w:rsidP="004A574C">
            <w:r>
              <w:t>Civil Leaders</w:t>
            </w:r>
          </w:p>
        </w:tc>
      </w:tr>
      <w:tr w:rsidR="00915685" w14:paraId="43502130" w14:textId="77777777" w:rsidTr="004A574C">
        <w:tc>
          <w:tcPr>
            <w:tcW w:w="378" w:type="dxa"/>
            <w:tcBorders>
              <w:bottom w:val="single" w:sz="4" w:space="0" w:color="auto"/>
            </w:tcBorders>
          </w:tcPr>
          <w:p w14:paraId="139E2EBA" w14:textId="77777777" w:rsidR="00915685" w:rsidRDefault="00915685" w:rsidP="004A574C"/>
        </w:tc>
        <w:tc>
          <w:tcPr>
            <w:tcW w:w="3060" w:type="dxa"/>
          </w:tcPr>
          <w:p w14:paraId="36736153" w14:textId="2717FA83" w:rsidR="00915685" w:rsidRDefault="00F95504" w:rsidP="004A574C">
            <w:r>
              <w:t>Publicly</w:t>
            </w:r>
            <w:r w:rsidR="00915685">
              <w:t xml:space="preserve"> funded institution/System of Care*</w:t>
            </w:r>
          </w:p>
        </w:tc>
        <w:tc>
          <w:tcPr>
            <w:tcW w:w="450" w:type="dxa"/>
            <w:tcBorders>
              <w:top w:val="single" w:sz="4" w:space="0" w:color="auto"/>
              <w:bottom w:val="single" w:sz="4" w:space="0" w:color="auto"/>
            </w:tcBorders>
          </w:tcPr>
          <w:p w14:paraId="03697922" w14:textId="77777777" w:rsidR="00915685" w:rsidRDefault="00915685" w:rsidP="004A574C"/>
        </w:tc>
        <w:tc>
          <w:tcPr>
            <w:tcW w:w="2430" w:type="dxa"/>
          </w:tcPr>
          <w:p w14:paraId="0058C7E0" w14:textId="77777777" w:rsidR="00915685" w:rsidRDefault="00915685" w:rsidP="004A574C">
            <w:r>
              <w:t>Other government-Federal</w:t>
            </w:r>
          </w:p>
        </w:tc>
        <w:tc>
          <w:tcPr>
            <w:tcW w:w="450" w:type="dxa"/>
            <w:tcBorders>
              <w:bottom w:val="single" w:sz="4" w:space="0" w:color="auto"/>
            </w:tcBorders>
          </w:tcPr>
          <w:p w14:paraId="68F88A87" w14:textId="77777777" w:rsidR="00915685" w:rsidRDefault="00915685" w:rsidP="004A574C"/>
        </w:tc>
        <w:tc>
          <w:tcPr>
            <w:tcW w:w="2398" w:type="dxa"/>
          </w:tcPr>
          <w:p w14:paraId="21E7590E" w14:textId="77777777" w:rsidR="00915685" w:rsidRDefault="00915685" w:rsidP="004A574C">
            <w:r>
              <w:t>Other government-State</w:t>
            </w:r>
          </w:p>
        </w:tc>
      </w:tr>
      <w:tr w:rsidR="00915685" w14:paraId="7A8FFD99" w14:textId="77777777" w:rsidTr="004A574C">
        <w:tc>
          <w:tcPr>
            <w:tcW w:w="378" w:type="dxa"/>
            <w:tcBorders>
              <w:bottom w:val="single" w:sz="4" w:space="0" w:color="auto"/>
            </w:tcBorders>
          </w:tcPr>
          <w:p w14:paraId="741603A1" w14:textId="77777777" w:rsidR="00915685" w:rsidRDefault="00915685" w:rsidP="004A574C"/>
        </w:tc>
        <w:tc>
          <w:tcPr>
            <w:tcW w:w="3060" w:type="dxa"/>
          </w:tcPr>
          <w:p w14:paraId="0B96257D" w14:textId="77777777" w:rsidR="00915685" w:rsidRDefault="00915685" w:rsidP="004A574C">
            <w:proofErr w:type="gramStart"/>
            <w:r>
              <w:t>Other</w:t>
            </w:r>
            <w:proofErr w:type="gramEnd"/>
            <w:r>
              <w:t xml:space="preserve"> government-County</w:t>
            </w:r>
          </w:p>
        </w:tc>
        <w:tc>
          <w:tcPr>
            <w:tcW w:w="450" w:type="dxa"/>
            <w:tcBorders>
              <w:top w:val="single" w:sz="4" w:space="0" w:color="auto"/>
              <w:bottom w:val="single" w:sz="4" w:space="0" w:color="auto"/>
            </w:tcBorders>
          </w:tcPr>
          <w:p w14:paraId="1A28D267" w14:textId="77777777" w:rsidR="00915685" w:rsidRDefault="00915685" w:rsidP="004A574C"/>
        </w:tc>
        <w:tc>
          <w:tcPr>
            <w:tcW w:w="2430" w:type="dxa"/>
          </w:tcPr>
          <w:p w14:paraId="2B1C706B" w14:textId="77777777" w:rsidR="00915685" w:rsidRDefault="00915685" w:rsidP="004A574C">
            <w:r>
              <w:t>Other government-Local</w:t>
            </w:r>
          </w:p>
        </w:tc>
        <w:tc>
          <w:tcPr>
            <w:tcW w:w="450" w:type="dxa"/>
            <w:tcBorders>
              <w:bottom w:val="single" w:sz="4" w:space="0" w:color="auto"/>
            </w:tcBorders>
          </w:tcPr>
          <w:p w14:paraId="7D1178C8" w14:textId="77777777" w:rsidR="00915685" w:rsidRDefault="00915685" w:rsidP="004A574C"/>
        </w:tc>
        <w:tc>
          <w:tcPr>
            <w:tcW w:w="2398" w:type="dxa"/>
          </w:tcPr>
          <w:p w14:paraId="22538E8A" w14:textId="77777777" w:rsidR="00915685" w:rsidRDefault="00915685" w:rsidP="004A574C">
            <w:r>
              <w:t>Grantee Department</w:t>
            </w:r>
          </w:p>
        </w:tc>
      </w:tr>
      <w:tr w:rsidR="00915685" w14:paraId="5F1EB7EC" w14:textId="77777777" w:rsidTr="004A574C">
        <w:trPr>
          <w:trHeight w:val="269"/>
        </w:trPr>
        <w:tc>
          <w:tcPr>
            <w:tcW w:w="378" w:type="dxa"/>
            <w:tcBorders>
              <w:bottom w:val="single" w:sz="4" w:space="0" w:color="auto"/>
            </w:tcBorders>
          </w:tcPr>
          <w:p w14:paraId="0100E300" w14:textId="77777777" w:rsidR="00915685" w:rsidRDefault="00915685" w:rsidP="004A574C"/>
        </w:tc>
        <w:tc>
          <w:tcPr>
            <w:tcW w:w="3060" w:type="dxa"/>
          </w:tcPr>
          <w:p w14:paraId="1A1139C4" w14:textId="77777777" w:rsidR="00915685" w:rsidRDefault="00915685" w:rsidP="004A574C">
            <w:r>
              <w:t>Regional Organization</w:t>
            </w:r>
          </w:p>
        </w:tc>
        <w:tc>
          <w:tcPr>
            <w:tcW w:w="450" w:type="dxa"/>
            <w:tcBorders>
              <w:top w:val="single" w:sz="4" w:space="0" w:color="auto"/>
              <w:bottom w:val="single" w:sz="4" w:space="0" w:color="auto"/>
            </w:tcBorders>
          </w:tcPr>
          <w:p w14:paraId="21E1C19D" w14:textId="77777777" w:rsidR="00915685" w:rsidRDefault="00915685" w:rsidP="004A574C"/>
        </w:tc>
        <w:tc>
          <w:tcPr>
            <w:tcW w:w="2430" w:type="dxa"/>
          </w:tcPr>
          <w:p w14:paraId="6CCD65DB" w14:textId="77777777" w:rsidR="00915685" w:rsidRDefault="00915685" w:rsidP="004A574C">
            <w:r>
              <w:t>Planning organization</w:t>
            </w:r>
          </w:p>
        </w:tc>
        <w:tc>
          <w:tcPr>
            <w:tcW w:w="450" w:type="dxa"/>
            <w:tcBorders>
              <w:bottom w:val="single" w:sz="4" w:space="0" w:color="auto"/>
            </w:tcBorders>
          </w:tcPr>
          <w:p w14:paraId="1EC98580" w14:textId="77777777" w:rsidR="00915685" w:rsidRDefault="00915685" w:rsidP="004A574C"/>
        </w:tc>
        <w:tc>
          <w:tcPr>
            <w:tcW w:w="2398" w:type="dxa"/>
          </w:tcPr>
          <w:p w14:paraId="34132FD4" w14:textId="77777777" w:rsidR="00915685" w:rsidRDefault="00915685" w:rsidP="004A574C">
            <w:r>
              <w:t>Business leaders</w:t>
            </w:r>
          </w:p>
        </w:tc>
      </w:tr>
      <w:tr w:rsidR="00915685" w14:paraId="60CFF003" w14:textId="77777777" w:rsidTr="004A574C">
        <w:trPr>
          <w:trHeight w:val="269"/>
        </w:trPr>
        <w:tc>
          <w:tcPr>
            <w:tcW w:w="378" w:type="dxa"/>
            <w:tcBorders>
              <w:bottom w:val="single" w:sz="4" w:space="0" w:color="auto"/>
            </w:tcBorders>
          </w:tcPr>
          <w:p w14:paraId="3882C5C1" w14:textId="77777777" w:rsidR="00915685" w:rsidRDefault="00915685" w:rsidP="004A574C"/>
        </w:tc>
        <w:tc>
          <w:tcPr>
            <w:tcW w:w="3060" w:type="dxa"/>
          </w:tcPr>
          <w:p w14:paraId="0BE961F8" w14:textId="77777777" w:rsidR="00915685" w:rsidRDefault="00915685" w:rsidP="004A574C">
            <w:r>
              <w:t>Community Development Financial Institution</w:t>
            </w:r>
          </w:p>
        </w:tc>
        <w:tc>
          <w:tcPr>
            <w:tcW w:w="450" w:type="dxa"/>
            <w:tcBorders>
              <w:top w:val="single" w:sz="4" w:space="0" w:color="auto"/>
              <w:bottom w:val="single" w:sz="4" w:space="0" w:color="auto"/>
            </w:tcBorders>
          </w:tcPr>
          <w:p w14:paraId="13602D4E" w14:textId="77777777" w:rsidR="00915685" w:rsidRDefault="00915685" w:rsidP="004A574C"/>
        </w:tc>
        <w:tc>
          <w:tcPr>
            <w:tcW w:w="2430" w:type="dxa"/>
          </w:tcPr>
          <w:p w14:paraId="6BB6C461" w14:textId="77777777" w:rsidR="00915685" w:rsidRDefault="00915685" w:rsidP="004A574C">
            <w:r>
              <w:t>Private Sector Banking/Financing</w:t>
            </w:r>
          </w:p>
        </w:tc>
        <w:tc>
          <w:tcPr>
            <w:tcW w:w="450" w:type="dxa"/>
            <w:tcBorders>
              <w:bottom w:val="single" w:sz="4" w:space="0" w:color="auto"/>
            </w:tcBorders>
          </w:tcPr>
          <w:p w14:paraId="5D989C2C" w14:textId="77777777" w:rsidR="00915685" w:rsidRDefault="00915685" w:rsidP="004A574C"/>
        </w:tc>
        <w:tc>
          <w:tcPr>
            <w:tcW w:w="2398" w:type="dxa"/>
          </w:tcPr>
          <w:p w14:paraId="42AC2338" w14:textId="77777777" w:rsidR="00915685" w:rsidRDefault="00915685" w:rsidP="004A574C">
            <w:r>
              <w:t>Neighborhood Organization</w:t>
            </w:r>
          </w:p>
        </w:tc>
      </w:tr>
      <w:tr w:rsidR="00915685" w14:paraId="7A27ADBE" w14:textId="77777777" w:rsidTr="004A574C">
        <w:trPr>
          <w:trHeight w:val="269"/>
        </w:trPr>
        <w:tc>
          <w:tcPr>
            <w:tcW w:w="378" w:type="dxa"/>
            <w:tcBorders>
              <w:bottom w:val="single" w:sz="4" w:space="0" w:color="auto"/>
            </w:tcBorders>
          </w:tcPr>
          <w:p w14:paraId="243786AC" w14:textId="77777777" w:rsidR="00915685" w:rsidRDefault="00915685" w:rsidP="004A574C"/>
        </w:tc>
        <w:tc>
          <w:tcPr>
            <w:tcW w:w="3060" w:type="dxa"/>
          </w:tcPr>
          <w:p w14:paraId="01363753" w14:textId="77777777" w:rsidR="00915685" w:rsidRDefault="00915685" w:rsidP="004A574C">
            <w:r>
              <w:t>Major Employer</w:t>
            </w:r>
          </w:p>
        </w:tc>
        <w:tc>
          <w:tcPr>
            <w:tcW w:w="450" w:type="dxa"/>
            <w:tcBorders>
              <w:top w:val="single" w:sz="4" w:space="0" w:color="auto"/>
              <w:bottom w:val="single" w:sz="4" w:space="0" w:color="auto"/>
            </w:tcBorders>
          </w:tcPr>
          <w:p w14:paraId="17F51F88" w14:textId="77777777" w:rsidR="00915685" w:rsidRDefault="00915685" w:rsidP="004A574C"/>
        </w:tc>
        <w:tc>
          <w:tcPr>
            <w:tcW w:w="2430" w:type="dxa"/>
          </w:tcPr>
          <w:p w14:paraId="31C7569C" w14:textId="77777777" w:rsidR="00915685" w:rsidRDefault="00915685" w:rsidP="004A574C">
            <w:r>
              <w:t>Foundation</w:t>
            </w:r>
          </w:p>
        </w:tc>
        <w:tc>
          <w:tcPr>
            <w:tcW w:w="450" w:type="dxa"/>
          </w:tcPr>
          <w:p w14:paraId="47527879" w14:textId="77777777" w:rsidR="00915685" w:rsidRDefault="00915685" w:rsidP="004A574C"/>
        </w:tc>
        <w:tc>
          <w:tcPr>
            <w:tcW w:w="2398" w:type="dxa"/>
          </w:tcPr>
          <w:p w14:paraId="41E49B54" w14:textId="77777777" w:rsidR="00915685" w:rsidRDefault="00915685" w:rsidP="004A574C">
            <w:r>
              <w:t>Other:</w:t>
            </w:r>
          </w:p>
        </w:tc>
      </w:tr>
    </w:tbl>
    <w:p w14:paraId="5F41561F" w14:textId="77777777" w:rsidR="00915685" w:rsidRDefault="00915685" w:rsidP="00915685">
      <w:r>
        <w:t>*Organizations which may discharge persons into homelessness, such as health care facilities, mental health facilities, foster care and other youth facilities, and corrections programs and institutions.</w:t>
      </w:r>
    </w:p>
    <w:p w14:paraId="6891C617" w14:textId="77777777" w:rsidR="00915685" w:rsidRPr="00676550" w:rsidRDefault="00915685" w:rsidP="00915685">
      <w:pPr>
        <w:rPr>
          <w:sz w:val="10"/>
        </w:rPr>
      </w:pPr>
    </w:p>
    <w:p w14:paraId="3B695099" w14:textId="77777777" w:rsidR="00915685" w:rsidRPr="00676550" w:rsidRDefault="00915685" w:rsidP="00915685">
      <w:pPr>
        <w:rPr>
          <w:b/>
          <w:sz w:val="24"/>
        </w:rPr>
      </w:pPr>
      <w:r>
        <w:rPr>
          <w:sz w:val="24"/>
        </w:rPr>
        <w:t>4. What section of the Plan was addressed by Consultation? (</w:t>
      </w:r>
      <w:r w:rsidRPr="00676550">
        <w:rPr>
          <w:b/>
          <w:sz w:val="24"/>
        </w:rPr>
        <w:t>Check all that apply</w:t>
      </w:r>
      <w:r>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060"/>
        <w:gridCol w:w="450"/>
        <w:gridCol w:w="2430"/>
        <w:gridCol w:w="450"/>
        <w:gridCol w:w="2398"/>
      </w:tblGrid>
      <w:tr w:rsidR="00915685" w14:paraId="78D65983" w14:textId="77777777" w:rsidTr="004A574C">
        <w:tc>
          <w:tcPr>
            <w:tcW w:w="378" w:type="dxa"/>
            <w:tcBorders>
              <w:bottom w:val="single" w:sz="4" w:space="0" w:color="auto"/>
            </w:tcBorders>
          </w:tcPr>
          <w:p w14:paraId="5245DB2B" w14:textId="77777777" w:rsidR="00915685" w:rsidRDefault="00915685" w:rsidP="004A574C"/>
        </w:tc>
        <w:tc>
          <w:tcPr>
            <w:tcW w:w="3060" w:type="dxa"/>
          </w:tcPr>
          <w:p w14:paraId="5CF5D570" w14:textId="77777777" w:rsidR="00915685" w:rsidRPr="00964222" w:rsidRDefault="00915685" w:rsidP="004A574C">
            <w:pPr>
              <w:rPr>
                <w:b/>
              </w:rPr>
            </w:pPr>
            <w:r>
              <w:t>Housing Needs Assessment</w:t>
            </w:r>
          </w:p>
        </w:tc>
        <w:tc>
          <w:tcPr>
            <w:tcW w:w="450" w:type="dxa"/>
            <w:tcBorders>
              <w:bottom w:val="single" w:sz="4" w:space="0" w:color="auto"/>
            </w:tcBorders>
          </w:tcPr>
          <w:p w14:paraId="5E0A1B34" w14:textId="77777777" w:rsidR="00915685" w:rsidRDefault="00915685" w:rsidP="004A574C"/>
        </w:tc>
        <w:tc>
          <w:tcPr>
            <w:tcW w:w="2430" w:type="dxa"/>
          </w:tcPr>
          <w:p w14:paraId="44C27AD9" w14:textId="77777777" w:rsidR="00915685" w:rsidRDefault="00915685" w:rsidP="004A574C">
            <w:r>
              <w:t>Public Housing Needs</w:t>
            </w:r>
          </w:p>
        </w:tc>
        <w:tc>
          <w:tcPr>
            <w:tcW w:w="450" w:type="dxa"/>
            <w:tcBorders>
              <w:bottom w:val="single" w:sz="4" w:space="0" w:color="auto"/>
            </w:tcBorders>
          </w:tcPr>
          <w:p w14:paraId="73EFB251" w14:textId="77777777" w:rsidR="00915685" w:rsidRDefault="00915685" w:rsidP="004A574C"/>
        </w:tc>
        <w:tc>
          <w:tcPr>
            <w:tcW w:w="2398" w:type="dxa"/>
          </w:tcPr>
          <w:p w14:paraId="4D98C54F" w14:textId="77777777" w:rsidR="00915685" w:rsidRDefault="00915685" w:rsidP="004A574C">
            <w:r>
              <w:t>Market Analysis</w:t>
            </w:r>
          </w:p>
        </w:tc>
      </w:tr>
      <w:tr w:rsidR="00915685" w14:paraId="2521D0EF" w14:textId="77777777" w:rsidTr="004A574C">
        <w:tc>
          <w:tcPr>
            <w:tcW w:w="378" w:type="dxa"/>
            <w:tcBorders>
              <w:bottom w:val="single" w:sz="4" w:space="0" w:color="auto"/>
            </w:tcBorders>
          </w:tcPr>
          <w:p w14:paraId="5234F36B" w14:textId="77777777" w:rsidR="00915685" w:rsidRDefault="00915685" w:rsidP="004A574C"/>
        </w:tc>
        <w:tc>
          <w:tcPr>
            <w:tcW w:w="3060" w:type="dxa"/>
          </w:tcPr>
          <w:p w14:paraId="546B4163" w14:textId="77777777" w:rsidR="00915685" w:rsidRDefault="00915685" w:rsidP="004A574C">
            <w:r>
              <w:t>Homeless Needs-Chronically homeless</w:t>
            </w:r>
          </w:p>
        </w:tc>
        <w:tc>
          <w:tcPr>
            <w:tcW w:w="450" w:type="dxa"/>
            <w:tcBorders>
              <w:top w:val="single" w:sz="4" w:space="0" w:color="auto"/>
              <w:bottom w:val="single" w:sz="4" w:space="0" w:color="auto"/>
            </w:tcBorders>
          </w:tcPr>
          <w:p w14:paraId="31B853EC" w14:textId="77777777" w:rsidR="00915685" w:rsidRDefault="00915685" w:rsidP="004A574C"/>
        </w:tc>
        <w:tc>
          <w:tcPr>
            <w:tcW w:w="2430" w:type="dxa"/>
          </w:tcPr>
          <w:p w14:paraId="0778603A" w14:textId="77777777" w:rsidR="00915685" w:rsidRDefault="00915685" w:rsidP="004A574C">
            <w:r>
              <w:t>Homeless Needs-Families with Children</w:t>
            </w:r>
          </w:p>
        </w:tc>
        <w:tc>
          <w:tcPr>
            <w:tcW w:w="450" w:type="dxa"/>
            <w:tcBorders>
              <w:bottom w:val="single" w:sz="4" w:space="0" w:color="auto"/>
            </w:tcBorders>
          </w:tcPr>
          <w:p w14:paraId="30103C3B" w14:textId="77777777" w:rsidR="00915685" w:rsidRDefault="00915685" w:rsidP="004A574C"/>
        </w:tc>
        <w:tc>
          <w:tcPr>
            <w:tcW w:w="2398" w:type="dxa"/>
          </w:tcPr>
          <w:p w14:paraId="79E36EE2" w14:textId="77777777" w:rsidR="00915685" w:rsidRDefault="00915685" w:rsidP="004A574C">
            <w:r>
              <w:t>Homelessness Needs-Veterans</w:t>
            </w:r>
          </w:p>
        </w:tc>
      </w:tr>
      <w:tr w:rsidR="00915685" w14:paraId="5AF7FD72" w14:textId="77777777" w:rsidTr="004A574C">
        <w:tc>
          <w:tcPr>
            <w:tcW w:w="378" w:type="dxa"/>
            <w:tcBorders>
              <w:bottom w:val="single" w:sz="4" w:space="0" w:color="auto"/>
            </w:tcBorders>
          </w:tcPr>
          <w:p w14:paraId="1D592BFB" w14:textId="77777777" w:rsidR="00915685" w:rsidRDefault="00915685" w:rsidP="004A574C"/>
        </w:tc>
        <w:tc>
          <w:tcPr>
            <w:tcW w:w="3060" w:type="dxa"/>
          </w:tcPr>
          <w:p w14:paraId="00F8F6C8" w14:textId="77777777" w:rsidR="00915685" w:rsidRDefault="00915685" w:rsidP="004A574C">
            <w:r>
              <w:t>Homelessness Needs-Unaccompanied Youth</w:t>
            </w:r>
          </w:p>
        </w:tc>
        <w:tc>
          <w:tcPr>
            <w:tcW w:w="450" w:type="dxa"/>
            <w:tcBorders>
              <w:top w:val="single" w:sz="4" w:space="0" w:color="auto"/>
              <w:bottom w:val="single" w:sz="4" w:space="0" w:color="auto"/>
            </w:tcBorders>
          </w:tcPr>
          <w:p w14:paraId="6A200BC7" w14:textId="77777777" w:rsidR="00915685" w:rsidRDefault="00915685" w:rsidP="004A574C"/>
        </w:tc>
        <w:tc>
          <w:tcPr>
            <w:tcW w:w="2430" w:type="dxa"/>
          </w:tcPr>
          <w:p w14:paraId="6A70C92D" w14:textId="77777777" w:rsidR="00915685" w:rsidRDefault="00915685" w:rsidP="004A574C">
            <w:r>
              <w:t xml:space="preserve">Homelessness </w:t>
            </w:r>
          </w:p>
          <w:p w14:paraId="03E2C0A2" w14:textId="77777777" w:rsidR="00915685" w:rsidRDefault="00915685" w:rsidP="004A574C">
            <w:r>
              <w:t>Strategy</w:t>
            </w:r>
          </w:p>
        </w:tc>
        <w:tc>
          <w:tcPr>
            <w:tcW w:w="450" w:type="dxa"/>
            <w:tcBorders>
              <w:bottom w:val="single" w:sz="4" w:space="0" w:color="auto"/>
            </w:tcBorders>
          </w:tcPr>
          <w:p w14:paraId="2D04AEF1" w14:textId="77777777" w:rsidR="00915685" w:rsidRDefault="00915685" w:rsidP="004A574C"/>
        </w:tc>
        <w:tc>
          <w:tcPr>
            <w:tcW w:w="2398" w:type="dxa"/>
          </w:tcPr>
          <w:p w14:paraId="27B80DD9" w14:textId="77777777" w:rsidR="00915685" w:rsidRDefault="00915685" w:rsidP="004A574C">
            <w:r>
              <w:t>Non-Homeless Special Needs</w:t>
            </w:r>
          </w:p>
        </w:tc>
      </w:tr>
      <w:tr w:rsidR="00915685" w14:paraId="055772BC" w14:textId="77777777" w:rsidTr="004A574C">
        <w:tc>
          <w:tcPr>
            <w:tcW w:w="378" w:type="dxa"/>
            <w:tcBorders>
              <w:bottom w:val="single" w:sz="4" w:space="0" w:color="auto"/>
            </w:tcBorders>
          </w:tcPr>
          <w:p w14:paraId="76C2E06B" w14:textId="77777777" w:rsidR="00915685" w:rsidRDefault="00915685" w:rsidP="004A574C"/>
        </w:tc>
        <w:tc>
          <w:tcPr>
            <w:tcW w:w="3060" w:type="dxa"/>
          </w:tcPr>
          <w:p w14:paraId="2D285931" w14:textId="77777777" w:rsidR="00915685" w:rsidRDefault="00915685" w:rsidP="004A574C">
            <w:r>
              <w:t>HOPWA Strategy</w:t>
            </w:r>
          </w:p>
        </w:tc>
        <w:tc>
          <w:tcPr>
            <w:tcW w:w="450" w:type="dxa"/>
            <w:tcBorders>
              <w:top w:val="single" w:sz="4" w:space="0" w:color="auto"/>
              <w:bottom w:val="single" w:sz="4" w:space="0" w:color="auto"/>
            </w:tcBorders>
          </w:tcPr>
          <w:p w14:paraId="7FF26B10" w14:textId="77777777" w:rsidR="00915685" w:rsidRDefault="00915685" w:rsidP="004A574C"/>
        </w:tc>
        <w:tc>
          <w:tcPr>
            <w:tcW w:w="2430" w:type="dxa"/>
          </w:tcPr>
          <w:p w14:paraId="120242D8" w14:textId="77777777" w:rsidR="00915685" w:rsidRDefault="00915685" w:rsidP="004A574C">
            <w:r>
              <w:t>Economic Development</w:t>
            </w:r>
          </w:p>
        </w:tc>
        <w:tc>
          <w:tcPr>
            <w:tcW w:w="450" w:type="dxa"/>
            <w:tcBorders>
              <w:bottom w:val="single" w:sz="4" w:space="0" w:color="auto"/>
            </w:tcBorders>
          </w:tcPr>
          <w:p w14:paraId="7BCB2006" w14:textId="77777777" w:rsidR="00915685" w:rsidRDefault="00915685" w:rsidP="004A574C"/>
        </w:tc>
        <w:tc>
          <w:tcPr>
            <w:tcW w:w="2398" w:type="dxa"/>
          </w:tcPr>
          <w:p w14:paraId="3A9871ED" w14:textId="77777777" w:rsidR="00915685" w:rsidRDefault="00915685" w:rsidP="004A574C">
            <w:r>
              <w:t>Anti-Poverty-Strategy</w:t>
            </w:r>
          </w:p>
        </w:tc>
      </w:tr>
      <w:tr w:rsidR="00915685" w14:paraId="18C0ACFD" w14:textId="77777777" w:rsidTr="004A574C">
        <w:tc>
          <w:tcPr>
            <w:tcW w:w="378" w:type="dxa"/>
            <w:tcBorders>
              <w:bottom w:val="single" w:sz="4" w:space="0" w:color="auto"/>
            </w:tcBorders>
          </w:tcPr>
          <w:p w14:paraId="06D93D6A" w14:textId="77777777" w:rsidR="00915685" w:rsidRDefault="00915685" w:rsidP="004A574C"/>
        </w:tc>
        <w:tc>
          <w:tcPr>
            <w:tcW w:w="3060" w:type="dxa"/>
          </w:tcPr>
          <w:p w14:paraId="5715B7F0" w14:textId="77777777" w:rsidR="00915685" w:rsidRDefault="00915685" w:rsidP="004A574C">
            <w:r>
              <w:t>Lead-based Paint Strategy</w:t>
            </w:r>
          </w:p>
        </w:tc>
        <w:tc>
          <w:tcPr>
            <w:tcW w:w="450" w:type="dxa"/>
            <w:tcBorders>
              <w:top w:val="single" w:sz="4" w:space="0" w:color="auto"/>
              <w:bottom w:val="single" w:sz="4" w:space="0" w:color="auto"/>
            </w:tcBorders>
          </w:tcPr>
          <w:p w14:paraId="773E675F" w14:textId="77777777" w:rsidR="00915685" w:rsidRDefault="00915685" w:rsidP="004A574C"/>
        </w:tc>
        <w:tc>
          <w:tcPr>
            <w:tcW w:w="2430" w:type="dxa"/>
          </w:tcPr>
          <w:p w14:paraId="3010AB03" w14:textId="77777777" w:rsidR="00915685" w:rsidRDefault="00915685" w:rsidP="004A574C">
            <w:r>
              <w:t>Other:</w:t>
            </w:r>
          </w:p>
        </w:tc>
        <w:tc>
          <w:tcPr>
            <w:tcW w:w="450" w:type="dxa"/>
            <w:tcBorders>
              <w:top w:val="single" w:sz="4" w:space="0" w:color="auto"/>
            </w:tcBorders>
          </w:tcPr>
          <w:p w14:paraId="0A7D638A" w14:textId="77777777" w:rsidR="00915685" w:rsidRDefault="00915685" w:rsidP="004A574C"/>
        </w:tc>
        <w:tc>
          <w:tcPr>
            <w:tcW w:w="2398" w:type="dxa"/>
          </w:tcPr>
          <w:p w14:paraId="0760699F" w14:textId="77777777" w:rsidR="00915685" w:rsidRDefault="00915685" w:rsidP="004A574C"/>
        </w:tc>
      </w:tr>
    </w:tbl>
    <w:p w14:paraId="32B9308A" w14:textId="77777777" w:rsidR="00915685" w:rsidRDefault="00915685" w:rsidP="00915685">
      <w:pPr>
        <w:rPr>
          <w:sz w:val="24"/>
        </w:rPr>
      </w:pPr>
    </w:p>
    <w:p w14:paraId="0587F4AE" w14:textId="77777777" w:rsidR="00915685" w:rsidRDefault="00915685" w:rsidP="00915685">
      <w:pPr>
        <w:rPr>
          <w:sz w:val="24"/>
        </w:rPr>
      </w:pPr>
      <w:r>
        <w:rPr>
          <w:sz w:val="24"/>
        </w:rPr>
        <w:t xml:space="preserve">5. Briefly describe how the Agency/Group/Organization was consulted? </w:t>
      </w:r>
    </w:p>
    <w:p w14:paraId="4BC262D2" w14:textId="77777777" w:rsidR="00915685" w:rsidRDefault="00915685" w:rsidP="00915685">
      <w:pPr>
        <w:rPr>
          <w:sz w:val="24"/>
        </w:rPr>
      </w:pPr>
    </w:p>
    <w:p w14:paraId="7B55E12F" w14:textId="77777777" w:rsidR="00915685" w:rsidRDefault="00915685" w:rsidP="00915685">
      <w:pPr>
        <w:rPr>
          <w:sz w:val="24"/>
        </w:rPr>
      </w:pPr>
    </w:p>
    <w:p w14:paraId="28ACD28B" w14:textId="77777777" w:rsidR="00915685" w:rsidRPr="00493748" w:rsidRDefault="00915685" w:rsidP="00915685">
      <w:pPr>
        <w:rPr>
          <w:sz w:val="24"/>
        </w:rPr>
      </w:pPr>
      <w:r>
        <w:rPr>
          <w:sz w:val="24"/>
        </w:rPr>
        <w:t>6. What are the anticipated outcomes of the consultation of areas for improved coordination?</w:t>
      </w:r>
    </w:p>
    <w:p w14:paraId="0915EBC0" w14:textId="77777777" w:rsidR="00915685" w:rsidRPr="0074561C" w:rsidRDefault="00915685" w:rsidP="00915685"/>
    <w:p w14:paraId="6A7AF245" w14:textId="77777777" w:rsidR="00915685" w:rsidRDefault="00915685" w:rsidP="00915685">
      <w:pPr>
        <w:rPr>
          <w:rFonts w:ascii="Open Sans" w:hAnsi="Open Sans" w:cs="Open Sans"/>
          <w:color w:val="44546A" w:themeColor="text2"/>
          <w:sz w:val="24"/>
          <w:szCs w:val="24"/>
        </w:rPr>
      </w:pPr>
    </w:p>
    <w:p w14:paraId="37D42AFF" w14:textId="77777777" w:rsidR="00915685" w:rsidRPr="00915685" w:rsidRDefault="00915685" w:rsidP="00915685">
      <w:pPr>
        <w:rPr>
          <w:rFonts w:ascii="Open Sans" w:hAnsi="Open Sans" w:cs="Open Sans"/>
          <w:color w:val="44546A" w:themeColor="text2"/>
          <w:sz w:val="24"/>
          <w:szCs w:val="24"/>
        </w:rPr>
      </w:pPr>
    </w:p>
    <w:sectPr w:rsidR="00915685" w:rsidRPr="00915685" w:rsidSect="00E74B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9025" w14:textId="77777777" w:rsidR="0071611B" w:rsidRDefault="0071611B" w:rsidP="00E74B7E">
      <w:pPr>
        <w:spacing w:after="0" w:line="240" w:lineRule="auto"/>
      </w:pPr>
      <w:r>
        <w:separator/>
      </w:r>
    </w:p>
  </w:endnote>
  <w:endnote w:type="continuationSeparator" w:id="0">
    <w:p w14:paraId="104F8637" w14:textId="77777777" w:rsidR="0071611B" w:rsidRDefault="0071611B" w:rsidP="00E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C542" w14:textId="77777777" w:rsidR="00E85C0B" w:rsidRDefault="00E85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36679"/>
      <w:docPartObj>
        <w:docPartGallery w:val="Page Numbers (Bottom of Page)"/>
        <w:docPartUnique/>
      </w:docPartObj>
    </w:sdtPr>
    <w:sdtEndPr>
      <w:rPr>
        <w:noProof/>
      </w:rPr>
    </w:sdtEndPr>
    <w:sdtContent>
      <w:p w14:paraId="3A467C5F" w14:textId="44A63012" w:rsidR="00E74B7E" w:rsidRDefault="00E74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7DD7F" w14:textId="77777777" w:rsidR="00E74B7E" w:rsidRDefault="00E74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C711" w14:textId="77777777" w:rsidR="00E85C0B" w:rsidRDefault="00E8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38EA" w14:textId="77777777" w:rsidR="0071611B" w:rsidRDefault="0071611B" w:rsidP="00E74B7E">
      <w:pPr>
        <w:spacing w:after="0" w:line="240" w:lineRule="auto"/>
      </w:pPr>
      <w:r>
        <w:separator/>
      </w:r>
    </w:p>
  </w:footnote>
  <w:footnote w:type="continuationSeparator" w:id="0">
    <w:p w14:paraId="536AFA68" w14:textId="77777777" w:rsidR="0071611B" w:rsidRDefault="0071611B" w:rsidP="00E7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58F1" w14:textId="77777777" w:rsidR="00E85C0B" w:rsidRDefault="00E85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61B8" w14:textId="77777777" w:rsidR="00E85C0B" w:rsidRDefault="00E85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E541" w14:textId="662C1A53" w:rsidR="00E85C0B" w:rsidRDefault="00E8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701"/>
    <w:multiLevelType w:val="hybridMultilevel"/>
    <w:tmpl w:val="166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471B"/>
    <w:multiLevelType w:val="hybridMultilevel"/>
    <w:tmpl w:val="B03C6C16"/>
    <w:lvl w:ilvl="0" w:tplc="B6A8F5FE">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E3A24"/>
    <w:multiLevelType w:val="hybridMultilevel"/>
    <w:tmpl w:val="857A3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C6E53"/>
    <w:multiLevelType w:val="hybridMultilevel"/>
    <w:tmpl w:val="8C1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D73DC"/>
    <w:multiLevelType w:val="hybridMultilevel"/>
    <w:tmpl w:val="104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F2FDE"/>
    <w:multiLevelType w:val="hybridMultilevel"/>
    <w:tmpl w:val="3AC05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7400C"/>
    <w:multiLevelType w:val="hybridMultilevel"/>
    <w:tmpl w:val="9172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CB"/>
    <w:rsid w:val="00024874"/>
    <w:rsid w:val="000766CC"/>
    <w:rsid w:val="002E6F9B"/>
    <w:rsid w:val="00303EF7"/>
    <w:rsid w:val="003405FB"/>
    <w:rsid w:val="00456DA0"/>
    <w:rsid w:val="00591233"/>
    <w:rsid w:val="005E4B25"/>
    <w:rsid w:val="0071611B"/>
    <w:rsid w:val="00726C50"/>
    <w:rsid w:val="007A454C"/>
    <w:rsid w:val="00915685"/>
    <w:rsid w:val="00AA41CB"/>
    <w:rsid w:val="00B25437"/>
    <w:rsid w:val="00BF00AF"/>
    <w:rsid w:val="00CB2740"/>
    <w:rsid w:val="00CB5A17"/>
    <w:rsid w:val="00CF43B1"/>
    <w:rsid w:val="00D0463C"/>
    <w:rsid w:val="00E74B7E"/>
    <w:rsid w:val="00E85C0B"/>
    <w:rsid w:val="00EA0653"/>
    <w:rsid w:val="00EA06C3"/>
    <w:rsid w:val="00F005CA"/>
    <w:rsid w:val="00F469C5"/>
    <w:rsid w:val="00F9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3A3EB"/>
  <w15:chartTrackingRefBased/>
  <w15:docId w15:val="{F908E734-A8B0-4FC4-93D0-3B81509B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40"/>
  </w:style>
  <w:style w:type="paragraph" w:styleId="Heading1">
    <w:name w:val="heading 1"/>
    <w:basedOn w:val="Normal"/>
    <w:next w:val="Normal"/>
    <w:link w:val="Heading1Char"/>
    <w:uiPriority w:val="9"/>
    <w:qFormat/>
    <w:rsid w:val="00E74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68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CB"/>
    <w:rPr>
      <w:color w:val="0563C1" w:themeColor="hyperlink"/>
      <w:u w:val="single"/>
    </w:rPr>
  </w:style>
  <w:style w:type="character" w:styleId="UnresolvedMention">
    <w:name w:val="Unresolved Mention"/>
    <w:basedOn w:val="DefaultParagraphFont"/>
    <w:uiPriority w:val="99"/>
    <w:semiHidden/>
    <w:unhideWhenUsed/>
    <w:rsid w:val="00AA41CB"/>
    <w:rPr>
      <w:color w:val="605E5C"/>
      <w:shd w:val="clear" w:color="auto" w:fill="E1DFDD"/>
    </w:rPr>
  </w:style>
  <w:style w:type="paragraph" w:styleId="Header">
    <w:name w:val="header"/>
    <w:basedOn w:val="Normal"/>
    <w:link w:val="HeaderChar"/>
    <w:uiPriority w:val="99"/>
    <w:unhideWhenUsed/>
    <w:rsid w:val="00E7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B7E"/>
  </w:style>
  <w:style w:type="paragraph" w:styleId="Footer">
    <w:name w:val="footer"/>
    <w:basedOn w:val="Normal"/>
    <w:link w:val="FooterChar"/>
    <w:uiPriority w:val="99"/>
    <w:unhideWhenUsed/>
    <w:rsid w:val="00E7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7E"/>
  </w:style>
  <w:style w:type="character" w:customStyle="1" w:styleId="Heading1Char">
    <w:name w:val="Heading 1 Char"/>
    <w:basedOn w:val="DefaultParagraphFont"/>
    <w:link w:val="Heading1"/>
    <w:uiPriority w:val="9"/>
    <w:rsid w:val="00E74B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4B7E"/>
    <w:pPr>
      <w:outlineLvl w:val="9"/>
    </w:pPr>
  </w:style>
  <w:style w:type="paragraph" w:styleId="TOC2">
    <w:name w:val="toc 2"/>
    <w:basedOn w:val="Normal"/>
    <w:next w:val="Normal"/>
    <w:autoRedefine/>
    <w:uiPriority w:val="39"/>
    <w:unhideWhenUsed/>
    <w:rsid w:val="00E74B7E"/>
    <w:pPr>
      <w:spacing w:after="100"/>
      <w:ind w:left="220"/>
    </w:pPr>
    <w:rPr>
      <w:rFonts w:eastAsiaTheme="minorEastAsia" w:cs="Times New Roman"/>
    </w:rPr>
  </w:style>
  <w:style w:type="paragraph" w:styleId="TOC1">
    <w:name w:val="toc 1"/>
    <w:basedOn w:val="Normal"/>
    <w:next w:val="Normal"/>
    <w:autoRedefine/>
    <w:uiPriority w:val="39"/>
    <w:unhideWhenUsed/>
    <w:rsid w:val="00E74B7E"/>
    <w:pPr>
      <w:spacing w:after="100"/>
    </w:pPr>
    <w:rPr>
      <w:rFonts w:eastAsiaTheme="minorEastAsia" w:cs="Times New Roman"/>
    </w:rPr>
  </w:style>
  <w:style w:type="paragraph" w:styleId="TOC3">
    <w:name w:val="toc 3"/>
    <w:basedOn w:val="Normal"/>
    <w:next w:val="Normal"/>
    <w:autoRedefine/>
    <w:uiPriority w:val="39"/>
    <w:unhideWhenUsed/>
    <w:rsid w:val="00E74B7E"/>
    <w:pPr>
      <w:spacing w:after="100"/>
      <w:ind w:left="440"/>
    </w:pPr>
    <w:rPr>
      <w:rFonts w:eastAsiaTheme="minorEastAsia" w:cs="Times New Roman"/>
    </w:rPr>
  </w:style>
  <w:style w:type="paragraph" w:styleId="ListParagraph">
    <w:name w:val="List Paragraph"/>
    <w:basedOn w:val="Normal"/>
    <w:uiPriority w:val="34"/>
    <w:qFormat/>
    <w:rsid w:val="000766CC"/>
    <w:pPr>
      <w:ind w:left="720"/>
      <w:contextualSpacing/>
    </w:pPr>
  </w:style>
  <w:style w:type="table" w:styleId="TableGrid">
    <w:name w:val="Table Grid"/>
    <w:basedOn w:val="TableNormal"/>
    <w:uiPriority w:val="59"/>
    <w:rsid w:val="00CB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68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dingfield@mountainla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bedingfield@mountainla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AB15-421F-432B-BD0A-307764DB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Bedingfield</dc:creator>
  <cp:keywords/>
  <dc:description/>
  <cp:lastModifiedBy>Jessica Bedingfield</cp:lastModifiedBy>
  <cp:revision>17</cp:revision>
  <dcterms:created xsi:type="dcterms:W3CDTF">2021-10-18T17:07:00Z</dcterms:created>
  <dcterms:modified xsi:type="dcterms:W3CDTF">2022-03-01T17:29:00Z</dcterms:modified>
</cp:coreProperties>
</file>